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BC" w:rsidRPr="008C03BC" w:rsidRDefault="008C03BC" w:rsidP="008C03BC">
      <w:pPr>
        <w:jc w:val="center"/>
        <w:rPr>
          <w:b/>
          <w:sz w:val="24"/>
          <w:szCs w:val="24"/>
        </w:rPr>
      </w:pPr>
      <w:r w:rsidRPr="008C03BC">
        <w:rPr>
          <w:b/>
          <w:sz w:val="24"/>
          <w:szCs w:val="24"/>
        </w:rPr>
        <w:t>LEY FEDERAL DE TRANSPARENCIA Y ACCESO A LA INFORMACIÓN PÚBLICA</w:t>
      </w:r>
    </w:p>
    <w:p w:rsidR="008C03BC" w:rsidRPr="008C03BC" w:rsidRDefault="008C03BC" w:rsidP="008C03BC">
      <w:pPr>
        <w:jc w:val="center"/>
        <w:rPr>
          <w:b/>
          <w:sz w:val="24"/>
          <w:szCs w:val="24"/>
        </w:rPr>
      </w:pPr>
      <w:r w:rsidRPr="008C03BC">
        <w:rPr>
          <w:b/>
          <w:sz w:val="24"/>
          <w:szCs w:val="24"/>
        </w:rPr>
        <w:t>TÍTULO QUINTO DEL PROCEDIMIENTO DE ACCESO A LA INFORMACIÓ</w:t>
      </w:r>
      <w:bookmarkStart w:id="0" w:name="_GoBack"/>
      <w:bookmarkEnd w:id="0"/>
      <w:r w:rsidRPr="008C03BC">
        <w:rPr>
          <w:b/>
          <w:sz w:val="24"/>
          <w:szCs w:val="24"/>
        </w:rPr>
        <w:t>N PÚBLICA</w:t>
      </w:r>
    </w:p>
    <w:p w:rsidR="008C03BC" w:rsidRPr="008C03BC" w:rsidRDefault="008C03BC" w:rsidP="008C03BC">
      <w:pPr>
        <w:jc w:val="center"/>
        <w:rPr>
          <w:b/>
          <w:sz w:val="24"/>
          <w:szCs w:val="24"/>
        </w:rPr>
      </w:pPr>
      <w:r w:rsidRPr="008C03BC">
        <w:rPr>
          <w:b/>
          <w:sz w:val="24"/>
          <w:szCs w:val="24"/>
        </w:rPr>
        <w:t>Capítulo III</w:t>
      </w:r>
    </w:p>
    <w:p w:rsidR="00B32163" w:rsidRPr="008C03BC" w:rsidRDefault="008C03BC" w:rsidP="008C03BC">
      <w:pPr>
        <w:jc w:val="center"/>
        <w:rPr>
          <w:b/>
          <w:sz w:val="24"/>
          <w:szCs w:val="24"/>
        </w:rPr>
      </w:pPr>
      <w:r w:rsidRPr="008C03BC">
        <w:rPr>
          <w:b/>
          <w:sz w:val="24"/>
          <w:szCs w:val="24"/>
        </w:rPr>
        <w:t>Del Recurso de Revisión ante el Instituto</w:t>
      </w:r>
    </w:p>
    <w:p w:rsidR="008C03BC" w:rsidRPr="008C03BC" w:rsidRDefault="008C03BC" w:rsidP="008C03BC">
      <w:pPr>
        <w:jc w:val="both"/>
        <w:rPr>
          <w:sz w:val="24"/>
          <w:szCs w:val="24"/>
        </w:rPr>
      </w:pPr>
      <w:r w:rsidRPr="008C03BC">
        <w:rPr>
          <w:b/>
          <w:sz w:val="24"/>
          <w:szCs w:val="24"/>
        </w:rPr>
        <w:t>Artículo 147</w:t>
      </w:r>
      <w:r w:rsidRPr="008C03BC">
        <w:rPr>
          <w:sz w:val="24"/>
          <w:szCs w:val="24"/>
        </w:rPr>
        <w:t xml:space="preserve">. El solicitante podrá interponer, por sí mismo o a través de su representante, de manera directa por escrito, por correo con porte pagado o por medios electrónicos, recurso de revisión ante el Instituto o ante la Unidad de Transparencia que haya conocido de la solicitud dentro de los quince días siguientes a la fecha de la notificación de la respuesta, o del vencimiento del plazo para su notificación. Deberán preverse mecanismos accesibles para personas con discapacidad. </w:t>
      </w:r>
    </w:p>
    <w:p w:rsidR="008C03BC" w:rsidRPr="008C03BC" w:rsidRDefault="008C03BC" w:rsidP="008C03BC">
      <w:pPr>
        <w:jc w:val="both"/>
        <w:rPr>
          <w:sz w:val="24"/>
          <w:szCs w:val="24"/>
        </w:rPr>
      </w:pPr>
      <w:r w:rsidRPr="008C03BC">
        <w:rPr>
          <w:sz w:val="24"/>
          <w:szCs w:val="24"/>
        </w:rPr>
        <w:t xml:space="preserve">Para el caso de personas que posean algún tipo de discapacidad que les dificulte una comunicación clara y precisa o de personas que sean hablantes de lengua indígena, se procurará proporcionarles gratuitamente un traductor o intérprete. En el caso de que el recurso se interponga ante la Unidad de Transparencia, ésta deberá remitir el recurso de revisión al Instituto a más tardar al día siguiente de haberlo recibido. </w:t>
      </w:r>
    </w:p>
    <w:p w:rsidR="008C03BC" w:rsidRPr="008C03BC" w:rsidRDefault="008C03BC" w:rsidP="008C03BC">
      <w:pPr>
        <w:jc w:val="both"/>
        <w:rPr>
          <w:sz w:val="24"/>
          <w:szCs w:val="24"/>
        </w:rPr>
      </w:pPr>
      <w:r w:rsidRPr="008C03BC">
        <w:rPr>
          <w:sz w:val="24"/>
          <w:szCs w:val="24"/>
        </w:rPr>
        <w:t>Asimismo, cuando el recurso sea presentado por una persona con discapacidad ante la Unidad de Transparencia, dicha circunstancia deberá ser notificada al organismo garante, para que determine mediante acuerdo los ajustes razonables que garanticen la tutela efectiva del derecho de acceso a la información.</w:t>
      </w:r>
    </w:p>
    <w:p w:rsidR="008C03BC" w:rsidRPr="008C03BC" w:rsidRDefault="008C03BC" w:rsidP="008C03BC">
      <w:pPr>
        <w:jc w:val="both"/>
        <w:rPr>
          <w:sz w:val="24"/>
          <w:szCs w:val="24"/>
        </w:rPr>
      </w:pPr>
      <w:r w:rsidRPr="008C03BC">
        <w:rPr>
          <w:b/>
          <w:sz w:val="24"/>
          <w:szCs w:val="24"/>
        </w:rPr>
        <w:t>Artículo 148.</w:t>
      </w:r>
      <w:r w:rsidRPr="008C03BC">
        <w:rPr>
          <w:sz w:val="24"/>
          <w:szCs w:val="24"/>
        </w:rPr>
        <w:t xml:space="preserve"> El recurso de revisión procederá en contra de: </w:t>
      </w:r>
    </w:p>
    <w:p w:rsidR="008C03BC" w:rsidRPr="008C03BC" w:rsidRDefault="008C03BC" w:rsidP="008C03BC">
      <w:pPr>
        <w:pStyle w:val="Prrafodelista"/>
        <w:numPr>
          <w:ilvl w:val="0"/>
          <w:numId w:val="1"/>
        </w:numPr>
        <w:jc w:val="both"/>
        <w:rPr>
          <w:sz w:val="24"/>
          <w:szCs w:val="24"/>
        </w:rPr>
      </w:pPr>
      <w:r w:rsidRPr="008C03BC">
        <w:rPr>
          <w:sz w:val="24"/>
          <w:szCs w:val="24"/>
        </w:rPr>
        <w:t xml:space="preserve">La clasificación de la información; </w:t>
      </w:r>
    </w:p>
    <w:p w:rsidR="008C03BC" w:rsidRPr="008C03BC" w:rsidRDefault="008C03BC" w:rsidP="008C03BC">
      <w:pPr>
        <w:pStyle w:val="Prrafodelista"/>
        <w:numPr>
          <w:ilvl w:val="0"/>
          <w:numId w:val="1"/>
        </w:numPr>
        <w:jc w:val="both"/>
        <w:rPr>
          <w:sz w:val="24"/>
          <w:szCs w:val="24"/>
        </w:rPr>
      </w:pPr>
      <w:r w:rsidRPr="008C03BC">
        <w:rPr>
          <w:sz w:val="24"/>
          <w:szCs w:val="24"/>
        </w:rPr>
        <w:t>La declaración de inexistencia de información;</w:t>
      </w:r>
    </w:p>
    <w:p w:rsidR="008C03BC" w:rsidRPr="008C03BC" w:rsidRDefault="008C03BC" w:rsidP="008C03BC">
      <w:pPr>
        <w:pStyle w:val="Prrafodelista"/>
        <w:numPr>
          <w:ilvl w:val="0"/>
          <w:numId w:val="1"/>
        </w:numPr>
        <w:jc w:val="both"/>
        <w:rPr>
          <w:sz w:val="24"/>
          <w:szCs w:val="24"/>
        </w:rPr>
      </w:pPr>
      <w:r w:rsidRPr="008C03BC">
        <w:rPr>
          <w:sz w:val="24"/>
          <w:szCs w:val="24"/>
        </w:rPr>
        <w:t>La declaración de incompetencia por el sujeto obligado;</w:t>
      </w:r>
    </w:p>
    <w:p w:rsidR="008C03BC" w:rsidRPr="008C03BC" w:rsidRDefault="008C03BC" w:rsidP="008C03BC">
      <w:pPr>
        <w:pStyle w:val="Prrafodelista"/>
        <w:numPr>
          <w:ilvl w:val="0"/>
          <w:numId w:val="1"/>
        </w:numPr>
        <w:jc w:val="both"/>
        <w:rPr>
          <w:sz w:val="24"/>
          <w:szCs w:val="24"/>
        </w:rPr>
      </w:pPr>
      <w:r w:rsidRPr="008C03BC">
        <w:rPr>
          <w:sz w:val="24"/>
          <w:szCs w:val="24"/>
        </w:rPr>
        <w:t xml:space="preserve">La entrega de información incompleta; </w:t>
      </w:r>
    </w:p>
    <w:p w:rsidR="008C03BC" w:rsidRPr="008C03BC" w:rsidRDefault="008C03BC" w:rsidP="008C03BC">
      <w:pPr>
        <w:pStyle w:val="Prrafodelista"/>
        <w:numPr>
          <w:ilvl w:val="0"/>
          <w:numId w:val="1"/>
        </w:numPr>
        <w:jc w:val="both"/>
        <w:rPr>
          <w:sz w:val="24"/>
          <w:szCs w:val="24"/>
        </w:rPr>
      </w:pPr>
      <w:r w:rsidRPr="008C03BC">
        <w:rPr>
          <w:sz w:val="24"/>
          <w:szCs w:val="24"/>
        </w:rPr>
        <w:t xml:space="preserve">La entrega de información que no corresponda con lo solicitado; </w:t>
      </w:r>
    </w:p>
    <w:p w:rsidR="008C03BC" w:rsidRPr="008C03BC" w:rsidRDefault="008C03BC" w:rsidP="008C03BC">
      <w:pPr>
        <w:pStyle w:val="Prrafodelista"/>
        <w:numPr>
          <w:ilvl w:val="0"/>
          <w:numId w:val="1"/>
        </w:numPr>
        <w:jc w:val="both"/>
        <w:rPr>
          <w:sz w:val="24"/>
          <w:szCs w:val="24"/>
        </w:rPr>
      </w:pPr>
      <w:r w:rsidRPr="008C03BC">
        <w:rPr>
          <w:sz w:val="24"/>
          <w:szCs w:val="24"/>
        </w:rPr>
        <w:t>La falta de respuesta a una solicitud de acceso a la información dentro de los plazos establecidos en la Ley;</w:t>
      </w:r>
    </w:p>
    <w:p w:rsidR="008C03BC" w:rsidRPr="008C03BC" w:rsidRDefault="008C03BC" w:rsidP="008C03BC">
      <w:pPr>
        <w:pStyle w:val="Prrafodelista"/>
        <w:numPr>
          <w:ilvl w:val="0"/>
          <w:numId w:val="1"/>
        </w:numPr>
        <w:jc w:val="both"/>
        <w:rPr>
          <w:sz w:val="24"/>
          <w:szCs w:val="24"/>
        </w:rPr>
      </w:pPr>
      <w:r w:rsidRPr="008C03BC">
        <w:rPr>
          <w:sz w:val="24"/>
          <w:szCs w:val="24"/>
        </w:rPr>
        <w:t xml:space="preserve">La notificación, entrega o puesta a disposición de información en una modalidad o formato distinto al solicitado; </w:t>
      </w:r>
    </w:p>
    <w:p w:rsidR="008C03BC" w:rsidRPr="008C03BC" w:rsidRDefault="008C03BC" w:rsidP="008C03BC">
      <w:pPr>
        <w:pStyle w:val="Prrafodelista"/>
        <w:numPr>
          <w:ilvl w:val="0"/>
          <w:numId w:val="1"/>
        </w:numPr>
        <w:jc w:val="both"/>
        <w:rPr>
          <w:sz w:val="24"/>
          <w:szCs w:val="24"/>
        </w:rPr>
      </w:pPr>
      <w:r w:rsidRPr="008C03BC">
        <w:rPr>
          <w:sz w:val="24"/>
          <w:szCs w:val="24"/>
        </w:rPr>
        <w:t>La entrega o puesta a disposición de información en un formato incomprensible y/o no accesible para el solicitante;</w:t>
      </w:r>
    </w:p>
    <w:p w:rsidR="008C03BC" w:rsidRPr="008C03BC" w:rsidRDefault="008C03BC" w:rsidP="008C03BC">
      <w:pPr>
        <w:pStyle w:val="Prrafodelista"/>
        <w:numPr>
          <w:ilvl w:val="0"/>
          <w:numId w:val="1"/>
        </w:numPr>
        <w:jc w:val="both"/>
        <w:rPr>
          <w:sz w:val="24"/>
          <w:szCs w:val="24"/>
        </w:rPr>
      </w:pPr>
      <w:r w:rsidRPr="008C03BC">
        <w:rPr>
          <w:sz w:val="24"/>
          <w:szCs w:val="24"/>
        </w:rPr>
        <w:t>Los costos o tiempos de entrega de la información;</w:t>
      </w:r>
    </w:p>
    <w:p w:rsidR="008C03BC" w:rsidRPr="008C03BC" w:rsidRDefault="008C03BC" w:rsidP="008C03BC">
      <w:pPr>
        <w:pStyle w:val="Prrafodelista"/>
        <w:numPr>
          <w:ilvl w:val="0"/>
          <w:numId w:val="1"/>
        </w:numPr>
        <w:jc w:val="both"/>
        <w:rPr>
          <w:sz w:val="24"/>
          <w:szCs w:val="24"/>
        </w:rPr>
      </w:pPr>
      <w:r w:rsidRPr="008C03BC">
        <w:rPr>
          <w:sz w:val="24"/>
          <w:szCs w:val="24"/>
        </w:rPr>
        <w:t xml:space="preserve">La falta de trámite a una solicitud; </w:t>
      </w:r>
    </w:p>
    <w:p w:rsidR="008C03BC" w:rsidRPr="008C03BC" w:rsidRDefault="008C03BC" w:rsidP="008C03BC">
      <w:pPr>
        <w:pStyle w:val="Prrafodelista"/>
        <w:numPr>
          <w:ilvl w:val="0"/>
          <w:numId w:val="1"/>
        </w:numPr>
        <w:jc w:val="both"/>
        <w:rPr>
          <w:sz w:val="24"/>
          <w:szCs w:val="24"/>
        </w:rPr>
      </w:pPr>
      <w:r w:rsidRPr="008C03BC">
        <w:rPr>
          <w:sz w:val="24"/>
          <w:szCs w:val="24"/>
        </w:rPr>
        <w:t xml:space="preserve"> La negativa a permitir la consulta directa de la información;</w:t>
      </w:r>
    </w:p>
    <w:p w:rsidR="008C03BC" w:rsidRPr="008C03BC" w:rsidRDefault="008C03BC" w:rsidP="008C03BC">
      <w:pPr>
        <w:pStyle w:val="Prrafodelista"/>
        <w:numPr>
          <w:ilvl w:val="0"/>
          <w:numId w:val="1"/>
        </w:numPr>
        <w:jc w:val="both"/>
        <w:rPr>
          <w:sz w:val="24"/>
          <w:szCs w:val="24"/>
        </w:rPr>
      </w:pPr>
      <w:r w:rsidRPr="008C03BC">
        <w:rPr>
          <w:sz w:val="24"/>
          <w:szCs w:val="24"/>
        </w:rPr>
        <w:t>La falta, deficiencia o insuficiencia de la fundamentación y/o motivación en la respuesta, o</w:t>
      </w:r>
    </w:p>
    <w:p w:rsidR="008C03BC" w:rsidRPr="008C03BC" w:rsidRDefault="008C03BC" w:rsidP="008C03BC">
      <w:pPr>
        <w:pStyle w:val="Prrafodelista"/>
        <w:numPr>
          <w:ilvl w:val="0"/>
          <w:numId w:val="1"/>
        </w:numPr>
        <w:jc w:val="both"/>
        <w:rPr>
          <w:sz w:val="24"/>
          <w:szCs w:val="24"/>
        </w:rPr>
      </w:pPr>
      <w:r w:rsidRPr="008C03BC">
        <w:rPr>
          <w:sz w:val="24"/>
          <w:szCs w:val="24"/>
        </w:rPr>
        <w:t xml:space="preserve">La orientación a un trámite específico. </w:t>
      </w:r>
    </w:p>
    <w:p w:rsidR="008C03BC" w:rsidRPr="008C03BC" w:rsidRDefault="008C03BC" w:rsidP="008C03BC">
      <w:pPr>
        <w:jc w:val="both"/>
        <w:rPr>
          <w:sz w:val="24"/>
          <w:szCs w:val="24"/>
        </w:rPr>
      </w:pPr>
      <w:r w:rsidRPr="008C03BC">
        <w:rPr>
          <w:sz w:val="24"/>
          <w:szCs w:val="24"/>
        </w:rPr>
        <w:lastRenderedPageBreak/>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rsidR="008C03BC" w:rsidRPr="008C03BC" w:rsidRDefault="008C03BC" w:rsidP="008C03BC">
      <w:pPr>
        <w:jc w:val="both"/>
        <w:rPr>
          <w:sz w:val="24"/>
          <w:szCs w:val="24"/>
        </w:rPr>
      </w:pPr>
      <w:r w:rsidRPr="008C03BC">
        <w:rPr>
          <w:b/>
          <w:sz w:val="24"/>
          <w:szCs w:val="24"/>
        </w:rPr>
        <w:t>Artículo 149.</w:t>
      </w:r>
      <w:r w:rsidRPr="008C03BC">
        <w:rPr>
          <w:sz w:val="24"/>
          <w:szCs w:val="24"/>
        </w:rPr>
        <w:t xml:space="preserve"> El recurso de revisión deberá contener: </w:t>
      </w:r>
    </w:p>
    <w:p w:rsidR="008C03BC" w:rsidRPr="008C03BC" w:rsidRDefault="008C03BC" w:rsidP="008C03BC">
      <w:pPr>
        <w:pStyle w:val="Prrafodelista"/>
        <w:numPr>
          <w:ilvl w:val="0"/>
          <w:numId w:val="2"/>
        </w:numPr>
        <w:jc w:val="both"/>
        <w:rPr>
          <w:sz w:val="24"/>
          <w:szCs w:val="24"/>
        </w:rPr>
      </w:pPr>
      <w:r w:rsidRPr="008C03BC">
        <w:rPr>
          <w:sz w:val="24"/>
          <w:szCs w:val="24"/>
        </w:rPr>
        <w:t xml:space="preserve">El sujeto obligado ante la cual se presentó la solicitud; </w:t>
      </w:r>
    </w:p>
    <w:p w:rsidR="008C03BC" w:rsidRPr="008C03BC" w:rsidRDefault="008C03BC" w:rsidP="008C03BC">
      <w:pPr>
        <w:pStyle w:val="Prrafodelista"/>
        <w:numPr>
          <w:ilvl w:val="0"/>
          <w:numId w:val="2"/>
        </w:numPr>
        <w:jc w:val="both"/>
        <w:rPr>
          <w:sz w:val="24"/>
          <w:szCs w:val="24"/>
        </w:rPr>
      </w:pPr>
      <w:r w:rsidRPr="008C03BC">
        <w:rPr>
          <w:sz w:val="24"/>
          <w:szCs w:val="24"/>
        </w:rPr>
        <w:t xml:space="preserve">El nombre del solicitante que recurre o de su representante y, en su caso, del tercero interesado, así como la dirección o medio que señale para recibir notificaciones; </w:t>
      </w:r>
    </w:p>
    <w:p w:rsidR="008C03BC" w:rsidRPr="008C03BC" w:rsidRDefault="008C03BC" w:rsidP="008C03BC">
      <w:pPr>
        <w:pStyle w:val="Prrafodelista"/>
        <w:numPr>
          <w:ilvl w:val="0"/>
          <w:numId w:val="2"/>
        </w:numPr>
        <w:jc w:val="both"/>
        <w:rPr>
          <w:sz w:val="24"/>
          <w:szCs w:val="24"/>
        </w:rPr>
      </w:pPr>
      <w:r w:rsidRPr="008C03BC">
        <w:rPr>
          <w:sz w:val="24"/>
          <w:szCs w:val="24"/>
        </w:rPr>
        <w:t xml:space="preserve">El número de folio de respuesta de la solicitud de acceso; </w:t>
      </w:r>
    </w:p>
    <w:p w:rsidR="008C03BC" w:rsidRPr="008C03BC" w:rsidRDefault="008C03BC" w:rsidP="008C03BC">
      <w:pPr>
        <w:pStyle w:val="Prrafodelista"/>
        <w:numPr>
          <w:ilvl w:val="0"/>
          <w:numId w:val="2"/>
        </w:numPr>
        <w:jc w:val="both"/>
        <w:rPr>
          <w:sz w:val="24"/>
          <w:szCs w:val="24"/>
        </w:rPr>
      </w:pPr>
      <w:r w:rsidRPr="008C03BC">
        <w:rPr>
          <w:sz w:val="24"/>
          <w:szCs w:val="24"/>
        </w:rPr>
        <w:t xml:space="preserve">La fecha en que fue notificada la respuesta al solicitante o tuvo conocimiento del acto reclamado, o de presentación de la solicitud, en caso de falta de respuesta; </w:t>
      </w:r>
    </w:p>
    <w:p w:rsidR="008C03BC" w:rsidRPr="008C03BC" w:rsidRDefault="008C03BC" w:rsidP="008C03BC">
      <w:pPr>
        <w:pStyle w:val="Prrafodelista"/>
        <w:numPr>
          <w:ilvl w:val="0"/>
          <w:numId w:val="2"/>
        </w:numPr>
        <w:jc w:val="both"/>
        <w:rPr>
          <w:sz w:val="24"/>
          <w:szCs w:val="24"/>
        </w:rPr>
      </w:pPr>
      <w:r w:rsidRPr="008C03BC">
        <w:rPr>
          <w:sz w:val="24"/>
          <w:szCs w:val="24"/>
        </w:rPr>
        <w:t>El acto que se recurre;</w:t>
      </w:r>
    </w:p>
    <w:p w:rsidR="008C03BC" w:rsidRPr="008C03BC" w:rsidRDefault="008C03BC" w:rsidP="008C03BC">
      <w:pPr>
        <w:pStyle w:val="Prrafodelista"/>
        <w:numPr>
          <w:ilvl w:val="0"/>
          <w:numId w:val="2"/>
        </w:numPr>
        <w:jc w:val="both"/>
        <w:rPr>
          <w:sz w:val="24"/>
          <w:szCs w:val="24"/>
        </w:rPr>
      </w:pPr>
      <w:r w:rsidRPr="008C03BC">
        <w:rPr>
          <w:sz w:val="24"/>
          <w:szCs w:val="24"/>
        </w:rPr>
        <w:t xml:space="preserve">Las razones o motivos de inconformidad, y </w:t>
      </w:r>
    </w:p>
    <w:p w:rsidR="008C03BC" w:rsidRPr="008C03BC" w:rsidRDefault="008C03BC" w:rsidP="008C03BC">
      <w:pPr>
        <w:pStyle w:val="Prrafodelista"/>
        <w:numPr>
          <w:ilvl w:val="0"/>
          <w:numId w:val="2"/>
        </w:numPr>
        <w:jc w:val="both"/>
        <w:rPr>
          <w:sz w:val="24"/>
          <w:szCs w:val="24"/>
        </w:rPr>
      </w:pPr>
      <w:r w:rsidRPr="008C03BC">
        <w:rPr>
          <w:sz w:val="24"/>
          <w:szCs w:val="24"/>
        </w:rPr>
        <w:t xml:space="preserve">La copia de la respuesta que se impugna y, en su caso, de la notificación correspondiente, salvo en el caso de respuesta de la solicitud. </w:t>
      </w:r>
    </w:p>
    <w:p w:rsidR="008C03BC" w:rsidRPr="008C03BC" w:rsidRDefault="008C03BC" w:rsidP="008C03BC">
      <w:pPr>
        <w:jc w:val="both"/>
        <w:rPr>
          <w:sz w:val="24"/>
          <w:szCs w:val="24"/>
        </w:rPr>
      </w:pPr>
      <w:r w:rsidRPr="008C03BC">
        <w:rPr>
          <w:sz w:val="24"/>
          <w:szCs w:val="24"/>
        </w:rPr>
        <w:t xml:space="preserve">Adicionalmente, se podrán anexar las pruebas y demás elementos que considere procedentes someter a juicio del Instituto. </w:t>
      </w:r>
    </w:p>
    <w:p w:rsidR="008C03BC" w:rsidRPr="008C03BC" w:rsidRDefault="008C03BC" w:rsidP="008C03BC">
      <w:pPr>
        <w:jc w:val="both"/>
        <w:rPr>
          <w:sz w:val="24"/>
          <w:szCs w:val="24"/>
        </w:rPr>
      </w:pPr>
      <w:r w:rsidRPr="008C03BC">
        <w:rPr>
          <w:sz w:val="24"/>
          <w:szCs w:val="24"/>
        </w:rPr>
        <w:t>En ningún caso será necesario que el particular ratifique el recurso de revisión interpuesto.</w:t>
      </w:r>
    </w:p>
    <w:sectPr w:rsidR="008C03BC" w:rsidRPr="008C03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0789C"/>
    <w:multiLevelType w:val="hybridMultilevel"/>
    <w:tmpl w:val="04AA6EF6"/>
    <w:lvl w:ilvl="0" w:tplc="5E8A51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D784617"/>
    <w:multiLevelType w:val="hybridMultilevel"/>
    <w:tmpl w:val="401CDEEE"/>
    <w:lvl w:ilvl="0" w:tplc="D3AE7B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BC"/>
    <w:rsid w:val="00580DD5"/>
    <w:rsid w:val="008C03BC"/>
    <w:rsid w:val="00D932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1DB04-EF0D-4BE0-9D30-D7C5CA68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0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545</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Martinez</dc:creator>
  <cp:keywords/>
  <dc:description/>
  <cp:lastModifiedBy>Doris Martinez</cp:lastModifiedBy>
  <cp:revision>1</cp:revision>
  <dcterms:created xsi:type="dcterms:W3CDTF">2018-04-23T22:19:00Z</dcterms:created>
  <dcterms:modified xsi:type="dcterms:W3CDTF">2018-04-23T22:26:00Z</dcterms:modified>
</cp:coreProperties>
</file>