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7C" w:rsidRDefault="00F43CFF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Dirección de Servicios Técnicos </w:t>
      </w:r>
    </w:p>
    <w:p w:rsidR="00203F7C" w:rsidRDefault="008B3823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30</w:t>
      </w:r>
      <w:r w:rsidR="00F43CFF">
        <w:rPr>
          <w:rFonts w:ascii="Montserrat" w:eastAsia="Montserrat" w:hAnsi="Montserrat" w:cs="Montserrat"/>
          <w:b/>
          <w:i/>
        </w:rPr>
        <w:t xml:space="preserve"> de </w:t>
      </w:r>
      <w:r>
        <w:rPr>
          <w:rFonts w:ascii="Montserrat" w:eastAsia="Montserrat" w:hAnsi="Montserrat" w:cs="Montserrat"/>
          <w:b/>
          <w:i/>
        </w:rPr>
        <w:t xml:space="preserve">junio </w:t>
      </w:r>
      <w:r w:rsidR="00F43CFF">
        <w:rPr>
          <w:rFonts w:ascii="Montserrat" w:eastAsia="Montserrat" w:hAnsi="Montserrat" w:cs="Montserrat"/>
          <w:b/>
          <w:i/>
        </w:rPr>
        <w:t>de 2022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4"/>
        <w:gridCol w:w="638"/>
        <w:gridCol w:w="729"/>
        <w:gridCol w:w="640"/>
        <w:gridCol w:w="604"/>
        <w:gridCol w:w="733"/>
        <w:gridCol w:w="607"/>
        <w:gridCol w:w="519"/>
        <w:gridCol w:w="722"/>
        <w:gridCol w:w="697"/>
        <w:gridCol w:w="680"/>
        <w:gridCol w:w="640"/>
        <w:gridCol w:w="630"/>
        <w:gridCol w:w="1167"/>
      </w:tblGrid>
      <w:tr w:rsidR="00203F7C" w:rsidTr="005A692C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3F7C" w:rsidRDefault="00F43CFF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Programa Anual de Trabajo 2022</w:t>
            </w:r>
          </w:p>
          <w:p w:rsidR="00203F7C" w:rsidRDefault="00F43CFF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Informe de Avance Efectivo</w:t>
            </w:r>
          </w:p>
        </w:tc>
      </w:tr>
      <w:tr w:rsidR="00203F7C" w:rsidTr="005A692C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F7C" w:rsidRDefault="00F43CFF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del Proyecto: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 xml:space="preserve">Otorgar certeza jurídica a las labores que se realizan al interior del CENAPRED, </w:t>
            </w:r>
            <w:proofErr w:type="spellStart"/>
            <w:r>
              <w:rPr>
                <w:rFonts w:ascii="Montserrat" w:eastAsia="Montserrat" w:hAnsi="Montserrat" w:cs="Montserrat"/>
                <w:smallCaps/>
              </w:rPr>
              <w:t>contibuye</w:t>
            </w:r>
            <w:proofErr w:type="spellEnd"/>
            <w:r>
              <w:rPr>
                <w:rFonts w:ascii="Montserrat" w:eastAsia="Montserrat" w:hAnsi="Montserrat" w:cs="Montserrat"/>
                <w:smallCaps/>
              </w:rPr>
              <w:t xml:space="preserve"> a la realización de sus objetivos de una manera adecuada y conforme a la legislación aplicable.</w:t>
            </w:r>
          </w:p>
        </w:tc>
      </w:tr>
      <w:tr w:rsidR="00203F7C" w:rsidTr="005A692C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F7C" w:rsidRDefault="00F43CFF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 la Actividad: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>Analizar y atender las solicitudes jurídicas formuladas por las áreas del Centro, dependencias de los sectores público, social y privado, para la interpretación y aplicación de las disposiciones normativas en materia de Gestión Integral del Riesgo.</w:t>
            </w:r>
          </w:p>
        </w:tc>
      </w:tr>
      <w:tr w:rsidR="00203F7C" w:rsidTr="005A692C">
        <w:trPr>
          <w:trHeight w:val="28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7C" w:rsidRDefault="00F43CFF">
            <w:pPr>
              <w:pStyle w:val="Ttulo2"/>
              <w:rPr>
                <w:rFonts w:ascii="Montserrat" w:eastAsia="Montserrat" w:hAnsi="Montserrat" w:cs="Montserrat"/>
                <w:b w:val="0"/>
              </w:rPr>
            </w:pPr>
            <w:r>
              <w:rPr>
                <w:rFonts w:ascii="Montserrat" w:eastAsia="Montserrat" w:hAnsi="Montserrat" w:cs="Montserrat"/>
              </w:rPr>
              <w:t>Respon</w:t>
            </w:r>
            <w:r>
              <w:rPr>
                <w:rFonts w:ascii="Montserrat" w:eastAsia="Montserrat" w:hAnsi="Montserrat" w:cs="Montserrat"/>
              </w:rPr>
              <w:t xml:space="preserve">sable: </w:t>
            </w:r>
            <w:r>
              <w:rPr>
                <w:rFonts w:ascii="Montserrat" w:eastAsia="Montserrat" w:hAnsi="Montserrat" w:cs="Montserrat"/>
                <w:b w:val="0"/>
              </w:rPr>
              <w:t>Claudia Núñez Peredo</w:t>
            </w: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203F7C" w:rsidTr="005A692C">
        <w:trPr>
          <w:trHeight w:val="26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3F7C" w:rsidRDefault="00F43CFF">
            <w:pPr>
              <w:pStyle w:val="Ttulo2"/>
              <w:spacing w:after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Calendario de avances:</w:t>
            </w:r>
          </w:p>
        </w:tc>
      </w:tr>
      <w:tr w:rsidR="00203F7C" w:rsidTr="005A692C">
        <w:trPr>
          <w:trHeight w:val="184"/>
          <w:jc w:val="center"/>
        </w:trPr>
        <w:tc>
          <w:tcPr>
            <w:tcW w:w="724" w:type="pct"/>
            <w:tcBorders>
              <w:top w:val="nil"/>
              <w:left w:val="single" w:sz="4" w:space="0" w:color="000000"/>
            </w:tcBorders>
          </w:tcPr>
          <w:p w:rsidR="00203F7C" w:rsidRDefault="00203F7C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Ene</w:t>
            </w:r>
          </w:p>
        </w:tc>
        <w:tc>
          <w:tcPr>
            <w:tcW w:w="346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Feb</w:t>
            </w:r>
          </w:p>
        </w:tc>
        <w:tc>
          <w:tcPr>
            <w:tcW w:w="304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</w:t>
            </w:r>
          </w:p>
        </w:tc>
        <w:tc>
          <w:tcPr>
            <w:tcW w:w="287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Abr</w:t>
            </w:r>
          </w:p>
        </w:tc>
        <w:tc>
          <w:tcPr>
            <w:tcW w:w="348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May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Jun</w:t>
            </w:r>
          </w:p>
        </w:tc>
        <w:tc>
          <w:tcPr>
            <w:tcW w:w="246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Jul</w:t>
            </w:r>
          </w:p>
        </w:tc>
        <w:tc>
          <w:tcPr>
            <w:tcW w:w="343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Ago</w:t>
            </w:r>
            <w:proofErr w:type="spellEnd"/>
          </w:p>
        </w:tc>
        <w:tc>
          <w:tcPr>
            <w:tcW w:w="331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Sep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Oct</w:t>
            </w:r>
          </w:p>
        </w:tc>
        <w:tc>
          <w:tcPr>
            <w:tcW w:w="304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Nov</w:t>
            </w:r>
          </w:p>
        </w:tc>
        <w:tc>
          <w:tcPr>
            <w:tcW w:w="299" w:type="pct"/>
            <w:tcBorders>
              <w:top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Dic</w:t>
            </w:r>
          </w:p>
        </w:tc>
        <w:tc>
          <w:tcPr>
            <w:tcW w:w="554" w:type="pc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Totales</w:t>
            </w:r>
          </w:p>
        </w:tc>
      </w:tr>
      <w:tr w:rsidR="00203F7C" w:rsidTr="005A692C">
        <w:trPr>
          <w:trHeight w:val="184"/>
          <w:jc w:val="center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</w:tcBorders>
          </w:tcPr>
          <w:p w:rsidR="00203F7C" w:rsidRDefault="00F43CFF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Programada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6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88" w:type="pct"/>
            <w:tcBorders>
              <w:bottom w:val="single" w:sz="4" w:space="0" w:color="000000"/>
            </w:tcBorders>
            <w:vAlign w:val="center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1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5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203F7C" w:rsidTr="005A692C">
        <w:trPr>
          <w:trHeight w:val="184"/>
          <w:jc w:val="center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</w:tcBorders>
          </w:tcPr>
          <w:p w:rsidR="00203F7C" w:rsidRDefault="00F43CFF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Realizada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6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88" w:type="pct"/>
            <w:tcBorders>
              <w:bottom w:val="single" w:sz="4" w:space="0" w:color="000000"/>
            </w:tcBorders>
            <w:vAlign w:val="center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1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203F7C" w:rsidRDefault="00203F7C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55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F7C" w:rsidRDefault="00F43CF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203F7C" w:rsidTr="005A692C">
        <w:trPr>
          <w:trHeight w:val="153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7C" w:rsidRDefault="00F43CFF">
            <w:pPr>
              <w:pStyle w:val="Ttulo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Descripción del avance:</w:t>
            </w:r>
          </w:p>
          <w:p w:rsidR="00203F7C" w:rsidRDefault="00F43CFF" w:rsidP="008B3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Montserrat" w:eastAsia="Montserrat" w:hAnsi="Montserrat" w:cs="Montserrat"/>
                <w:highlight w:val="white"/>
              </w:rPr>
              <w:t>Se brindó apoyo jurídico al juicio número 12470/19, promovido por C. Torres Palomino Lucrecia.</w:t>
            </w:r>
          </w:p>
          <w:p w:rsidR="00203F7C" w:rsidRDefault="00F43CFF" w:rsidP="008B3823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highlight w:val="white"/>
              </w:rPr>
            </w:pPr>
            <w:bookmarkStart w:id="1" w:name="_heading=h.5nr5aeujm1h7" w:colFirst="0" w:colLast="0"/>
            <w:bookmarkEnd w:id="1"/>
            <w:r>
              <w:rPr>
                <w:rFonts w:ascii="Montserrat" w:eastAsia="Montserrat" w:hAnsi="Montserrat" w:cs="Montserrat"/>
                <w:highlight w:val="white"/>
              </w:rPr>
              <w:t xml:space="preserve">Se revisó una </w:t>
            </w:r>
            <w:r>
              <w:rPr>
                <w:rFonts w:ascii="Montserrat" w:eastAsia="Montserrat" w:hAnsi="Montserrat" w:cs="Montserrat"/>
                <w:b/>
                <w:sz w:val="22"/>
                <w:szCs w:val="22"/>
                <w:highlight w:val="white"/>
              </w:rPr>
              <w:t>nota informativa sobre inundaciones</w:t>
            </w:r>
            <w:r>
              <w:rPr>
                <w:rFonts w:ascii="Montserrat" w:eastAsia="Montserrat" w:hAnsi="Montserrat" w:cs="Montserrat"/>
                <w:highlight w:val="white"/>
              </w:rPr>
              <w:t xml:space="preserve"> que elabora la subdirección de inundaciones de la Dirección de Investigación  para emitir comentarios a ésta. </w:t>
            </w:r>
          </w:p>
          <w:p w:rsidR="00203F7C" w:rsidRDefault="00F43CFF" w:rsidP="008B3823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highlight w:val="white"/>
              </w:rPr>
            </w:pPr>
            <w:bookmarkStart w:id="2" w:name="_heading=h.hluanzucfg0" w:colFirst="0" w:colLast="0"/>
            <w:bookmarkEnd w:id="2"/>
            <w:r>
              <w:rPr>
                <w:rFonts w:ascii="Montserrat" w:eastAsia="Montserrat" w:hAnsi="Montserrat" w:cs="Montserrat"/>
                <w:highlight w:val="white"/>
              </w:rPr>
              <w:t>Se revisó una corroboración por deslizamientos de ladera en 29 municipios en el estado de Oaxaca a cargo de la Dirección de Investigación.</w:t>
            </w:r>
            <w:bookmarkStart w:id="3" w:name="_GoBack"/>
            <w:bookmarkEnd w:id="3"/>
          </w:p>
          <w:p w:rsidR="00203F7C" w:rsidRDefault="00F43CFF" w:rsidP="008B3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Se colaboró en la revisión y análisis para la elaboración de 1 requerimiento realizado por la Secretaría de Gobernaci</w:t>
            </w:r>
            <w:r>
              <w:rPr>
                <w:rFonts w:ascii="Montserrat" w:eastAsia="Montserrat" w:hAnsi="Montserrat" w:cs="Montserrat"/>
                <w:highlight w:val="white"/>
              </w:rPr>
              <w:t xml:space="preserve">ón. </w:t>
            </w:r>
          </w:p>
          <w:p w:rsidR="00203F7C" w:rsidRDefault="00F43CFF" w:rsidP="008B3823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4" w:name="_heading=h.hq6m4medb23c" w:colFirst="0" w:colLast="0"/>
            <w:bookmarkStart w:id="5" w:name="_heading=h.sgoljl53q7e9" w:colFirst="0" w:colLast="0"/>
            <w:bookmarkEnd w:id="4"/>
            <w:bookmarkEnd w:id="5"/>
            <w:r>
              <w:rPr>
                <w:rFonts w:ascii="Montserrat" w:eastAsia="Montserrat" w:hAnsi="Montserrat" w:cs="Montserrat"/>
              </w:rPr>
              <w:t xml:space="preserve">Se colaboró en la revisión y análisis para atender una solicitud de la Regidora del Ayuntamiento de Atotonilco de Tula, oficio SSPC/CENAPRED/DG/00842/2022. </w:t>
            </w:r>
          </w:p>
          <w:p w:rsidR="00203F7C" w:rsidRDefault="00F43CFF" w:rsidP="008B3823">
            <w:pPr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bookmarkStart w:id="6" w:name="_heading=h.symv0m17zh9o" w:colFirst="0" w:colLast="0"/>
            <w:bookmarkStart w:id="7" w:name="_heading=h.wxgms11ff51k" w:colFirst="0" w:colLast="0"/>
            <w:bookmarkEnd w:id="6"/>
            <w:bookmarkEnd w:id="7"/>
            <w:r>
              <w:rPr>
                <w:rFonts w:ascii="Montserrat" w:eastAsia="Montserrat" w:hAnsi="Montserrat" w:cs="Montserrat"/>
              </w:rPr>
              <w:t>Se atiende mediante oficio SSPC/CENAPRED/DG/0730/2022, reiterado la eliminación del MOE del SANI-APF y anexando oficio SSPC/CENAPRED/DG/0589/2021.</w:t>
            </w:r>
          </w:p>
          <w:p w:rsidR="00203F7C" w:rsidRDefault="00F43CFF" w:rsidP="008B3823">
            <w:pPr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bookmarkStart w:id="8" w:name="_heading=h.jshjhrdo6xtw" w:colFirst="0" w:colLast="0"/>
            <w:bookmarkEnd w:id="8"/>
            <w:r>
              <w:rPr>
                <w:rFonts w:ascii="Montserrat" w:eastAsia="Montserrat" w:hAnsi="Montserrat" w:cs="Montserrat"/>
              </w:rPr>
              <w:t>Se remite oficio SSPC/CENAPRED/DG/0746/2022,  a la Unidad General de Asuntos Jurídicos y Transparencia (UGAJ</w:t>
            </w:r>
            <w:r>
              <w:rPr>
                <w:rFonts w:ascii="Montserrat" w:eastAsia="Montserrat" w:hAnsi="Montserrat" w:cs="Montserrat"/>
              </w:rPr>
              <w:t>T) el “</w:t>
            </w:r>
            <w:r>
              <w:rPr>
                <w:rFonts w:ascii="Montserrat" w:eastAsia="Montserrat" w:hAnsi="Montserrat" w:cs="Montserrat"/>
                <w:b/>
                <w:i/>
              </w:rPr>
              <w:t xml:space="preserve">Proyección de Normas Internas para Actualizar Cronograma de Simplificación Administrativa de la SSPC y sus </w:t>
            </w:r>
            <w:proofErr w:type="spellStart"/>
            <w:r>
              <w:rPr>
                <w:rFonts w:ascii="Montserrat" w:eastAsia="Montserrat" w:hAnsi="Montserrat" w:cs="Montserrat"/>
                <w:b/>
                <w:i/>
              </w:rPr>
              <w:t>OAD’s</w:t>
            </w:r>
            <w:proofErr w:type="spellEnd"/>
            <w:r>
              <w:rPr>
                <w:rFonts w:ascii="Montserrat" w:eastAsia="Montserrat" w:hAnsi="Montserrat" w:cs="Montserrat"/>
              </w:rPr>
              <w:t>” de manera física y electrónica.</w:t>
            </w:r>
          </w:p>
          <w:p w:rsidR="00203F7C" w:rsidRDefault="00F43CFF" w:rsidP="008B3823">
            <w:pPr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bookmarkStart w:id="9" w:name="_heading=h.fguoo0vzy9y3" w:colFirst="0" w:colLast="0"/>
            <w:bookmarkStart w:id="10" w:name="_heading=h.1uj88kgy79t" w:colFirst="0" w:colLast="0"/>
            <w:bookmarkEnd w:id="9"/>
            <w:bookmarkEnd w:id="10"/>
            <w:r>
              <w:rPr>
                <w:rFonts w:ascii="Montserrat" w:eastAsia="Montserrat" w:hAnsi="Montserrat" w:cs="Montserrat"/>
              </w:rPr>
              <w:t>Se remite oficio a la Dirección General de lo Consultivo y Derechos Humanos SSPC/CENAPRED/DG/0771/2022</w:t>
            </w:r>
            <w:r>
              <w:rPr>
                <w:rFonts w:ascii="Montserrat" w:eastAsia="Montserrat" w:hAnsi="Montserrat" w:cs="Montserrat"/>
              </w:rPr>
              <w:t xml:space="preserve">, para publicar el Manual de Procedimientos en el SANI-APF </w:t>
            </w:r>
          </w:p>
          <w:p w:rsidR="00203F7C" w:rsidRDefault="00F43CFF" w:rsidP="008B3823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11" w:name="_heading=h.p15npdb9aaec" w:colFirst="0" w:colLast="0"/>
            <w:bookmarkStart w:id="12" w:name="_heading=h.2y87uzi2ng7j" w:colFirst="0" w:colLast="0"/>
            <w:bookmarkStart w:id="13" w:name="_heading=h.19t1ms3zj58f" w:colFirst="0" w:colLast="0"/>
            <w:bookmarkStart w:id="14" w:name="_heading=h.dxwkl8e4i432" w:colFirst="0" w:colLast="0"/>
            <w:bookmarkStart w:id="15" w:name="_heading=h.v9s13dpqmikz" w:colFirst="0" w:colLast="0"/>
            <w:bookmarkEnd w:id="11"/>
            <w:bookmarkEnd w:id="12"/>
            <w:bookmarkEnd w:id="13"/>
            <w:bookmarkEnd w:id="14"/>
            <w:bookmarkEnd w:id="15"/>
            <w:r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SSPC/CENAPRED/DG/0848/2022, para dar de baja el </w:t>
            </w:r>
            <w:r>
              <w:rPr>
                <w:rFonts w:ascii="Montserrat" w:eastAsia="Montserrat" w:hAnsi="Montserrat" w:cs="Montserrat"/>
                <w:b/>
              </w:rPr>
              <w:t xml:space="preserve">Procedimiento en caso de Ciclones Tropicales (PCT) </w:t>
            </w:r>
            <w:r>
              <w:rPr>
                <w:rFonts w:ascii="Montserrat" w:eastAsia="Montserrat" w:hAnsi="Montserrat" w:cs="Montserrat"/>
              </w:rPr>
              <w:t>del</w:t>
            </w:r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t>SANI-APF con el número identificador 27701, toda vez que, se expidió y registró el Manual de Procedimientos (MP) del CENAPRED en el que se incorporaron los procedimientos denominados</w:t>
            </w:r>
            <w:r>
              <w:rPr>
                <w:rFonts w:ascii="Montserrat" w:eastAsia="Montserrat" w:hAnsi="Montserrat" w:cs="Montserrat"/>
                <w:i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t>“</w:t>
            </w:r>
            <w:r>
              <w:rPr>
                <w:rFonts w:ascii="Montserrat" w:eastAsia="Montserrat" w:hAnsi="Montserrat" w:cs="Montserrat"/>
                <w:i/>
              </w:rPr>
              <w:t>Investigaciones sobre fenómenos naturales y seguridad estructural</w:t>
            </w:r>
            <w:r>
              <w:rPr>
                <w:rFonts w:ascii="Montserrat" w:eastAsia="Montserrat" w:hAnsi="Montserrat" w:cs="Montserrat"/>
              </w:rPr>
              <w:t>“ y ”</w:t>
            </w:r>
            <w:r>
              <w:rPr>
                <w:rFonts w:ascii="Montserrat" w:eastAsia="Montserrat" w:hAnsi="Montserrat" w:cs="Montserrat"/>
                <w:i/>
              </w:rPr>
              <w:t>Evaluación de Impacto socioeconómico de los desastres ocurridos en la República Mexicana</w:t>
            </w:r>
            <w:r>
              <w:rPr>
                <w:rFonts w:ascii="Montserrat" w:eastAsia="Montserrat" w:hAnsi="Montserrat" w:cs="Montserrat"/>
              </w:rPr>
              <w:t>” los cuales sustituyen al PCT.</w:t>
            </w:r>
          </w:p>
          <w:p w:rsidR="00203F7C" w:rsidRPr="008B3823" w:rsidRDefault="00F43CFF" w:rsidP="008B3823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bookmarkStart w:id="16" w:name="_heading=h.440szvm9404c" w:colFirst="0" w:colLast="0"/>
            <w:bookmarkEnd w:id="16"/>
            <w:r w:rsidRPr="008B3823"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SSPC/CENAPRED/DG/0849/2022,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>Procedimie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nto Respuesta Post-Sismo (PRPS),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 xml:space="preserve">SANI-APF con el número identificador 25696, toda vez que, se expidió y registró el Manual de Procedimientos (MP) del CENAPRED en el que se incorporó el procedimiento </w:t>
            </w:r>
            <w:r w:rsidRPr="008B3823">
              <w:rPr>
                <w:rFonts w:ascii="Montserrat" w:eastAsia="Montserrat" w:hAnsi="Montserrat" w:cs="Montserrat"/>
              </w:rPr>
              <w:lastRenderedPageBreak/>
              <w:t>denominado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fenómenos naturales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y seguridad estructural</w:t>
            </w:r>
            <w:proofErr w:type="gramStart"/>
            <w:r w:rsidRPr="008B3823">
              <w:rPr>
                <w:rFonts w:ascii="Montserrat" w:eastAsia="Montserrat" w:hAnsi="Montserrat" w:cs="Montserrat"/>
              </w:rPr>
              <w:t>“ el</w:t>
            </w:r>
            <w:proofErr w:type="gramEnd"/>
            <w:r w:rsidRPr="008B3823">
              <w:rPr>
                <w:rFonts w:ascii="Montserrat" w:eastAsia="Montserrat" w:hAnsi="Montserrat" w:cs="Montserrat"/>
              </w:rPr>
              <w:t xml:space="preserve"> cual sustituye al PRPS.</w:t>
            </w:r>
          </w:p>
          <w:p w:rsidR="00203F7C" w:rsidRPr="008B3823" w:rsidRDefault="00F43CFF" w:rsidP="008B3823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SSPC/CENAPRED/DG/0850/2022,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Procedimiento Respuesta Post-Vientos Fuertes (PRPVF),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SANI-APF con el nú</w:t>
            </w:r>
            <w:r w:rsidRPr="008B3823">
              <w:rPr>
                <w:rFonts w:ascii="Montserrat" w:eastAsia="Montserrat" w:hAnsi="Montserrat" w:cs="Montserrat"/>
              </w:rPr>
              <w:t>mero identificador 31273, toda vez que, se expidió y registró el Manual de Procedimientos (MP) del CENAPRED en el que se incorporó el procedimiento denominado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fenómenos naturales y seguridad estructural</w:t>
            </w:r>
            <w:proofErr w:type="gramStart"/>
            <w:r w:rsidRPr="008B3823">
              <w:rPr>
                <w:rFonts w:ascii="Montserrat" w:eastAsia="Montserrat" w:hAnsi="Montserrat" w:cs="Montserrat"/>
              </w:rPr>
              <w:t>“ el</w:t>
            </w:r>
            <w:proofErr w:type="gramEnd"/>
            <w:r w:rsidRPr="008B3823">
              <w:rPr>
                <w:rFonts w:ascii="Montserrat" w:eastAsia="Montserrat" w:hAnsi="Montserrat" w:cs="Montserrat"/>
              </w:rPr>
              <w:t xml:space="preserve"> cual sustituye al PRPS.</w:t>
            </w:r>
            <w:r w:rsidRPr="008B3823">
              <w:rPr>
                <w:rFonts w:ascii="Montserrat" w:eastAsia="Montserrat" w:hAnsi="Montserrat" w:cs="Montserrat"/>
              </w:rPr>
              <w:t xml:space="preserve"> </w:t>
            </w:r>
          </w:p>
          <w:p w:rsidR="00203F7C" w:rsidRPr="008B3823" w:rsidRDefault="00F43CFF" w:rsidP="008B3823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SSPC/CENAPRED/DG/0851/2022,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Procedimiento para Proyectos de Investigación en el Laboratorio de Muestras Ambientales (PPILMA)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SANI-APF con el número identif</w:t>
            </w:r>
            <w:r w:rsidRPr="008B3823">
              <w:rPr>
                <w:rFonts w:ascii="Montserrat" w:eastAsia="Montserrat" w:hAnsi="Montserrat" w:cs="Montserrat"/>
              </w:rPr>
              <w:t>icador 31227, toda vez que, se expidió y registró el Manual de Procedimientos (MP) del CENAPRED en el que se incorporaron los procedimientos denominados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fenómenos naturales y seguridad estructural</w:t>
            </w:r>
            <w:r w:rsidRPr="008B3823">
              <w:rPr>
                <w:rFonts w:ascii="Montserrat" w:eastAsia="Montserrat" w:hAnsi="Montserrat" w:cs="Montserrat"/>
              </w:rPr>
              <w:t>“ y ”</w:t>
            </w:r>
            <w:r w:rsidRPr="008B3823">
              <w:rPr>
                <w:rFonts w:ascii="Montserrat" w:eastAsia="Montserrat" w:hAnsi="Montserrat" w:cs="Montserrat"/>
                <w:i/>
              </w:rPr>
              <w:t>Análisis de muestras ambientales</w:t>
            </w:r>
            <w:r w:rsidRPr="008B3823">
              <w:rPr>
                <w:rFonts w:ascii="Montserrat" w:eastAsia="Montserrat" w:hAnsi="Montserrat" w:cs="Montserrat"/>
              </w:rPr>
              <w:t>” los cuales sustituyen al PPILMA.</w:t>
            </w:r>
            <w:r w:rsidRPr="008B3823">
              <w:rPr>
                <w:rFonts w:ascii="Montserrat" w:eastAsia="Montserrat" w:hAnsi="Montserrat" w:cs="Montserrat"/>
              </w:rPr>
              <w:t xml:space="preserve"> </w:t>
            </w:r>
          </w:p>
          <w:p w:rsidR="00203F7C" w:rsidRPr="008B3823" w:rsidRDefault="00F43CFF" w:rsidP="008B3823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SSPC/CENAPRED/DG/0852/2022,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Procedimiento Erupción Volcánica (PEV)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SANI-APF con el número identificador 31282, toda ve</w:t>
            </w:r>
            <w:r w:rsidRPr="008B3823">
              <w:rPr>
                <w:rFonts w:ascii="Montserrat" w:eastAsia="Montserrat" w:hAnsi="Montserrat" w:cs="Montserrat"/>
              </w:rPr>
              <w:t>z que, se expidió y registró el Manual de Procedimientos (MP) del CENAPRED en el que se incorporaron los procedimientos denominados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fenómenos naturales y seguridad estructural</w:t>
            </w:r>
            <w:r w:rsidRPr="008B3823">
              <w:rPr>
                <w:rFonts w:ascii="Montserrat" w:eastAsia="Montserrat" w:hAnsi="Montserrat" w:cs="Montserrat"/>
              </w:rPr>
              <w:t>“ y ”</w:t>
            </w:r>
            <w:r w:rsidRPr="008B3823">
              <w:rPr>
                <w:rFonts w:ascii="Montserrat" w:eastAsia="Montserrat" w:hAnsi="Montserrat" w:cs="Montserrat"/>
                <w:i/>
              </w:rPr>
              <w:t>Procedimiento y monitoreo de fenómenos naturales a tr</w:t>
            </w:r>
            <w:r w:rsidRPr="008B3823">
              <w:rPr>
                <w:rFonts w:ascii="Montserrat" w:eastAsia="Montserrat" w:hAnsi="Montserrat" w:cs="Montserrat"/>
                <w:i/>
              </w:rPr>
              <w:t>avés de los datos generados por los sistemas de monitoreo del CENAPRED</w:t>
            </w:r>
            <w:r w:rsidRPr="008B3823">
              <w:rPr>
                <w:rFonts w:ascii="Montserrat" w:eastAsia="Montserrat" w:hAnsi="Montserrat" w:cs="Montserrat"/>
              </w:rPr>
              <w:t>” los cuales sustituyen al PEV.</w:t>
            </w:r>
            <w:r w:rsidRPr="008B3823">
              <w:rPr>
                <w:rFonts w:ascii="Montserrat" w:eastAsia="Montserrat" w:hAnsi="Montserrat" w:cs="Montserrat"/>
              </w:rPr>
              <w:t xml:space="preserve"> </w:t>
            </w:r>
          </w:p>
          <w:p w:rsidR="00203F7C" w:rsidRPr="008B3823" w:rsidRDefault="00F43CFF" w:rsidP="008B3823">
            <w:pPr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 xml:space="preserve">Se remite oficio a la Dirección General de lo Consultivo y Derechos Humanos SSPC/CENAPRED/DG/0853/2022,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>Procedimiento para las Accio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nes ante la Ocurrencia de Sismos (PAOS)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SANI-APF con el número identificador 25722, toda vez que, se expidió y registró el Manual de Procedimientos (MP) del CENAPRED en el que se incorporaron los procedimientos denominados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</w:t>
            </w:r>
            <w:r w:rsidRPr="008B3823">
              <w:rPr>
                <w:rFonts w:ascii="Montserrat" w:eastAsia="Montserrat" w:hAnsi="Montserrat" w:cs="Montserrat"/>
                <w:i/>
              </w:rPr>
              <w:t>nos naturales y seguridad estructural</w:t>
            </w:r>
            <w:r w:rsidRPr="008B3823">
              <w:rPr>
                <w:rFonts w:ascii="Montserrat" w:eastAsia="Montserrat" w:hAnsi="Montserrat" w:cs="Montserrat"/>
              </w:rPr>
              <w:t>“ y ”</w:t>
            </w:r>
            <w:r w:rsidRPr="008B3823">
              <w:rPr>
                <w:rFonts w:ascii="Montserrat" w:eastAsia="Montserrat" w:hAnsi="Montserrat" w:cs="Montserrat"/>
                <w:i/>
              </w:rPr>
              <w:t>Procedimiento y monitoreo de fenómenos naturales a través de los datos generados por los sistemas de monitoreo del CENAPRED</w:t>
            </w:r>
            <w:r w:rsidRPr="008B3823">
              <w:rPr>
                <w:rFonts w:ascii="Montserrat" w:eastAsia="Montserrat" w:hAnsi="Montserrat" w:cs="Montserrat"/>
              </w:rPr>
              <w:t>” los cuales sustituyen al PAOS.</w:t>
            </w:r>
            <w:r w:rsidRPr="008B3823">
              <w:rPr>
                <w:rFonts w:ascii="Montserrat" w:eastAsia="Montserrat" w:hAnsi="Montserrat" w:cs="Montserrat"/>
              </w:rPr>
              <w:t xml:space="preserve"> </w:t>
            </w:r>
          </w:p>
          <w:p w:rsidR="00203F7C" w:rsidRPr="008B3823" w:rsidRDefault="00F43CFF" w:rsidP="008B3823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>Se remitió oficio a la Dirección General de lo Consultiv</w:t>
            </w:r>
            <w:r w:rsidRPr="008B3823">
              <w:rPr>
                <w:rFonts w:ascii="Montserrat" w:eastAsia="Montserrat" w:hAnsi="Montserrat" w:cs="Montserrat"/>
              </w:rPr>
              <w:t xml:space="preserve">o y Derechos Humanos SSPC/CENAPRED/DG/0854/2022,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Procedimiento Atlas Nacional de Riesgos (PANR)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 xml:space="preserve">SANI-APF con el número identificador 31299, toda vez que, se expidió y registró el Manual de Procedimientos (MP) del CENAPRED en el que </w:t>
            </w:r>
            <w:r w:rsidRPr="008B3823">
              <w:rPr>
                <w:rFonts w:ascii="Montserrat" w:eastAsia="Montserrat" w:hAnsi="Montserrat" w:cs="Montserrat"/>
              </w:rPr>
              <w:t>se incorporaron los procedimientos denominados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“Investigaciones sobre fenómenos naturales y seguridad estructural</w:t>
            </w:r>
            <w:r w:rsidRPr="008B3823">
              <w:rPr>
                <w:rFonts w:ascii="Montserrat" w:eastAsia="Montserrat" w:hAnsi="Montserrat" w:cs="Montserrat"/>
              </w:rPr>
              <w:t>“, ”</w:t>
            </w:r>
            <w:r w:rsidRPr="008B3823">
              <w:rPr>
                <w:rFonts w:ascii="Montserrat" w:eastAsia="Montserrat" w:hAnsi="Montserrat" w:cs="Montserrat"/>
                <w:i/>
              </w:rPr>
              <w:t>Evaluación de Impacto socioeconómico de los desastres ocurridos en la República Mexicana</w:t>
            </w:r>
            <w:r w:rsidRPr="008B3823">
              <w:rPr>
                <w:rFonts w:ascii="Montserrat" w:eastAsia="Montserrat" w:hAnsi="Montserrat" w:cs="Montserrat"/>
              </w:rPr>
              <w:t>” y ”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Elaboración del Atlas nacional de Riesgos </w:t>
            </w:r>
            <w:r w:rsidRPr="008B3823">
              <w:rPr>
                <w:rFonts w:ascii="Montserrat" w:eastAsia="Montserrat" w:hAnsi="Montserrat" w:cs="Montserrat"/>
              </w:rPr>
              <w:t>”los</w:t>
            </w:r>
            <w:r w:rsidRPr="008B3823">
              <w:rPr>
                <w:rFonts w:ascii="Montserrat" w:eastAsia="Montserrat" w:hAnsi="Montserrat" w:cs="Montserrat"/>
              </w:rPr>
              <w:t xml:space="preserve"> cuales sustituyen al PANR.</w:t>
            </w:r>
          </w:p>
          <w:p w:rsidR="00203F7C" w:rsidRPr="008B3823" w:rsidRDefault="00F43CFF" w:rsidP="008B3823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bookmarkStart w:id="17" w:name="_heading=h.z0r057s2sdry" w:colFirst="0" w:colLast="0"/>
            <w:bookmarkEnd w:id="17"/>
            <w:r w:rsidRPr="008B3823"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SSPC/CENAPRED/DG/0855/2022,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Procedimiento Apoyo al SINAPROC (PASINAPROC)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SANI-APF con el número identificador 25728, toda vez que, se expidió y registró el Manual de Procedimientos (MP) del CENAPRED en el que se incorporaron los procedimientos denominados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Colaboración en comités o grupos de trabajo en materia de protección civ</w:t>
            </w:r>
            <w:r w:rsidRPr="008B3823">
              <w:rPr>
                <w:rFonts w:ascii="Montserrat" w:eastAsia="Montserrat" w:hAnsi="Montserrat" w:cs="Montserrat"/>
                <w:i/>
              </w:rPr>
              <w:t>il</w:t>
            </w:r>
            <w:r w:rsidRPr="008B3823">
              <w:rPr>
                <w:rFonts w:ascii="Montserrat" w:eastAsia="Montserrat" w:hAnsi="Montserrat" w:cs="Montserrat"/>
              </w:rPr>
              <w:t>“ y ”</w:t>
            </w:r>
            <w:r w:rsidRPr="008B3823">
              <w:rPr>
                <w:rFonts w:ascii="Montserrat" w:eastAsia="Montserrat" w:hAnsi="Montserrat" w:cs="Montserrat"/>
                <w:i/>
              </w:rPr>
              <w:t>Procedimiento y monitoreo de fenómenos naturales a través de los datos generados por los sistemas de monitoreo del CENAPRED</w:t>
            </w:r>
            <w:r w:rsidRPr="008B3823">
              <w:rPr>
                <w:rFonts w:ascii="Montserrat" w:eastAsia="Montserrat" w:hAnsi="Montserrat" w:cs="Montserrat"/>
              </w:rPr>
              <w:t>” los cuales sustituyen al PASINAPROC</w:t>
            </w:r>
          </w:p>
          <w:p w:rsidR="00203F7C" w:rsidRPr="008B3823" w:rsidRDefault="00F43CFF" w:rsidP="008B3823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bookmarkStart w:id="18" w:name="_heading=h.9ccfqwscgft8" w:colFirst="0" w:colLast="0"/>
            <w:bookmarkEnd w:id="18"/>
            <w:r w:rsidRPr="008B3823">
              <w:rPr>
                <w:rFonts w:ascii="Montserrat" w:eastAsia="Montserrat" w:hAnsi="Montserrat" w:cs="Montserrat"/>
              </w:rPr>
              <w:lastRenderedPageBreak/>
              <w:t xml:space="preserve">Se remitió oficio a la Dirección General de lo Consultivo y Derechos Humanos SSPC/CENAPRED/DG/0856/2022,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Procedimiento de Desarrollo de Proyectos de Investigación Experimental en el Laboratorio de Estructuras Grandes (PDPIELEG),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</w:t>
            </w:r>
            <w:r w:rsidRPr="008B3823">
              <w:rPr>
                <w:rFonts w:ascii="Montserrat" w:eastAsia="Montserrat" w:hAnsi="Montserrat" w:cs="Montserrat"/>
              </w:rPr>
              <w:t>I-APF con el número identificador 25868, toda vez que, se expidió y registró el Manual de Procedimientos (MP) del CENAPRED en el que se incorporó el procedimiento denominado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fenómenos naturales y seguridad estructural</w:t>
            </w:r>
            <w:r w:rsidRPr="008B3823">
              <w:rPr>
                <w:rFonts w:ascii="Montserrat" w:eastAsia="Montserrat" w:hAnsi="Montserrat" w:cs="Montserrat"/>
              </w:rPr>
              <w:t>“ el cual sustit</w:t>
            </w:r>
            <w:r w:rsidRPr="008B3823">
              <w:rPr>
                <w:rFonts w:ascii="Montserrat" w:eastAsia="Montserrat" w:hAnsi="Montserrat" w:cs="Montserrat"/>
              </w:rPr>
              <w:t>uye al PDPIELEG.</w:t>
            </w:r>
            <w:bookmarkStart w:id="19" w:name="_heading=h.1dsmp321bka8" w:colFirst="0" w:colLast="0"/>
            <w:bookmarkEnd w:id="19"/>
          </w:p>
          <w:p w:rsidR="00203F7C" w:rsidRPr="008B3823" w:rsidRDefault="00F43CFF" w:rsidP="008B3823">
            <w:pPr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 xml:space="preserve">Se remitió oficio a la Dirección General de lo Consultivo y Derechos Humanos SSPC/CENAPRED/DG/0857/2022, para dar de baja el </w:t>
            </w:r>
            <w:r w:rsidRPr="008B3823">
              <w:rPr>
                <w:rFonts w:ascii="Montserrat" w:eastAsia="Montserrat" w:hAnsi="Montserrat" w:cs="Montserrat"/>
                <w:b/>
              </w:rPr>
              <w:t>Procedimiento de Desarrollo de Proyectos de Investigación Experimental en el Laboratorio de Dinámica de Suelos co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n Instituciones Externas (PDPIELDSIE), </w:t>
            </w:r>
            <w:r w:rsidRPr="008B3823">
              <w:rPr>
                <w:rFonts w:ascii="Montserrat" w:eastAsia="Montserrat" w:hAnsi="Montserrat" w:cs="Montserrat"/>
              </w:rPr>
              <w:t>del</w:t>
            </w:r>
            <w:r w:rsidRPr="008B3823">
              <w:rPr>
                <w:rFonts w:ascii="Montserrat" w:eastAsia="Montserrat" w:hAnsi="Montserrat" w:cs="Montserrat"/>
                <w:b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SANI-APF con el número identificador 25867, toda vez que, se expidió y registró el Manual de Procedimientos (MP) del CENAPRED en el que se incorporó el procedimiento denominado</w:t>
            </w:r>
            <w:r w:rsidRPr="008B3823">
              <w:rPr>
                <w:rFonts w:ascii="Montserrat" w:eastAsia="Montserrat" w:hAnsi="Montserrat" w:cs="Montserrat"/>
                <w:i/>
              </w:rPr>
              <w:t xml:space="preserve"> </w:t>
            </w:r>
            <w:r w:rsidRPr="008B3823">
              <w:rPr>
                <w:rFonts w:ascii="Montserrat" w:eastAsia="Montserrat" w:hAnsi="Montserrat" w:cs="Montserrat"/>
              </w:rPr>
              <w:t>“</w:t>
            </w:r>
            <w:r w:rsidRPr="008B3823">
              <w:rPr>
                <w:rFonts w:ascii="Montserrat" w:eastAsia="Montserrat" w:hAnsi="Montserrat" w:cs="Montserrat"/>
                <w:i/>
              </w:rPr>
              <w:t>Investigaciones sobre fenómenos nat</w:t>
            </w:r>
            <w:r w:rsidRPr="008B3823">
              <w:rPr>
                <w:rFonts w:ascii="Montserrat" w:eastAsia="Montserrat" w:hAnsi="Montserrat" w:cs="Montserrat"/>
                <w:i/>
              </w:rPr>
              <w:t>urales y seguridad estructural</w:t>
            </w:r>
            <w:r w:rsidRPr="008B3823">
              <w:rPr>
                <w:rFonts w:ascii="Montserrat" w:eastAsia="Montserrat" w:hAnsi="Montserrat" w:cs="Montserrat"/>
              </w:rPr>
              <w:t>“ el cual sustituye al PDPIELDSIE.</w:t>
            </w:r>
            <w:bookmarkStart w:id="20" w:name="_heading=h.kkr9q44bchpd" w:colFirst="0" w:colLast="0"/>
            <w:bookmarkEnd w:id="20"/>
          </w:p>
          <w:p w:rsidR="008B3823" w:rsidRPr="008B3823" w:rsidRDefault="00F43CFF" w:rsidP="008B38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bookmarkStart w:id="21" w:name="_heading=h.2eiqmddrmz7q" w:colFirst="0" w:colLast="0"/>
            <w:bookmarkEnd w:id="21"/>
            <w:r w:rsidRPr="008B3823">
              <w:rPr>
                <w:rFonts w:ascii="Montserrat" w:eastAsia="Montserrat" w:hAnsi="Montserrat" w:cs="Montserrat"/>
              </w:rPr>
              <w:t xml:space="preserve">Se analizó y se atendió mediante oficio SSPC/CENAPRED/DG/00881/2022 la solicitud realizada por el Representante de Paramount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Bay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>, Puerto Vallarta, Jalisco.</w:t>
            </w:r>
            <w:bookmarkStart w:id="22" w:name="_heading=h.9u9grt55kh1r" w:colFirst="0" w:colLast="0"/>
            <w:bookmarkStart w:id="23" w:name="_heading=h.l87kb0ojllzq" w:colFirst="0" w:colLast="0"/>
            <w:bookmarkStart w:id="24" w:name="_heading=h.ol1cqne52ky3" w:colFirst="0" w:colLast="0"/>
            <w:bookmarkStart w:id="25" w:name="_heading=h.c8s5i7pfc58c" w:colFirst="0" w:colLast="0"/>
            <w:bookmarkEnd w:id="22"/>
            <w:bookmarkEnd w:id="23"/>
            <w:bookmarkEnd w:id="24"/>
            <w:bookmarkEnd w:id="25"/>
          </w:p>
          <w:p w:rsidR="00203F7C" w:rsidRDefault="00F43CFF" w:rsidP="008B3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S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e dio seguimiento y atención a 2</w:t>
            </w:r>
            <w:r>
              <w:rPr>
                <w:rFonts w:ascii="Montserrat" w:eastAsia="Montserrat" w:hAnsi="Montserrat" w:cs="Montserrat"/>
              </w:rPr>
              <w:t>1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 oficios remitidos por diversos Juzgados de Distrito pertenecientes al Poder Judicial de la Federación relacionados con la materia de Amparo</w:t>
            </w:r>
            <w:r>
              <w:rPr>
                <w:rFonts w:ascii="Montserrat" w:eastAsia="Montserrat" w:hAnsi="Montserrat" w:cs="Montserrat"/>
              </w:rPr>
              <w:t xml:space="preserve"> con los siguientes números de oficio: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26" w:name="_heading=h.ypz6wxu0n33" w:colFirst="0" w:colLast="0"/>
            <w:bookmarkEnd w:id="26"/>
            <w:r>
              <w:rPr>
                <w:rFonts w:ascii="Montserrat" w:eastAsia="Montserrat" w:hAnsi="Montserrat" w:cs="Montserrat"/>
              </w:rPr>
              <w:t>SSPC/CENAPRED/DG/00459/2022, relativo al Jui</w:t>
            </w:r>
            <w:r>
              <w:rPr>
                <w:rFonts w:ascii="Montserrat" w:eastAsia="Montserrat" w:hAnsi="Montserrat" w:cs="Montserrat"/>
              </w:rPr>
              <w:t>cio de Amparo 683/2020 en el R.A. 132/2022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27" w:name="_heading=h.rp2o6k1ddwfm" w:colFirst="0" w:colLast="0"/>
            <w:bookmarkEnd w:id="27"/>
            <w:r>
              <w:rPr>
                <w:rFonts w:ascii="Montserrat" w:eastAsia="Montserrat" w:hAnsi="Montserrat" w:cs="Montserrat"/>
              </w:rPr>
              <w:t>SSPC/CENAPRED/DG/00460/2022, relativo al Juicio de Amparo 1113/2019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28" w:name="_heading=h.aa180bjf5toc" w:colFirst="0" w:colLast="0"/>
            <w:bookmarkEnd w:id="28"/>
            <w:r>
              <w:rPr>
                <w:rFonts w:ascii="Montserrat" w:eastAsia="Montserrat" w:hAnsi="Montserrat" w:cs="Montserrat"/>
              </w:rPr>
              <w:t>SSPC/CENAPRED/DG/00472/2022, relativo al Juicio de Amparo 885/2019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29" w:name="_heading=h.qczgn98z1mon" w:colFirst="0" w:colLast="0"/>
            <w:bookmarkEnd w:id="29"/>
            <w:r>
              <w:rPr>
                <w:rFonts w:ascii="Montserrat" w:eastAsia="Montserrat" w:hAnsi="Montserrat" w:cs="Montserrat"/>
              </w:rPr>
              <w:t>SSPC/CENAPRED/DG/00478/2022, relativo al Juicio de Amparo 823/2021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0" w:name="_heading=h.ebrbqj1gwsd0" w:colFirst="0" w:colLast="0"/>
            <w:bookmarkEnd w:id="30"/>
            <w:r>
              <w:rPr>
                <w:rFonts w:ascii="Montserrat" w:eastAsia="Montserrat" w:hAnsi="Montserrat" w:cs="Montserrat"/>
              </w:rPr>
              <w:t>SSPC/CENAPR</w:t>
            </w:r>
            <w:r>
              <w:rPr>
                <w:rFonts w:ascii="Montserrat" w:eastAsia="Montserrat" w:hAnsi="Montserrat" w:cs="Montserrat"/>
              </w:rPr>
              <w:t>ED/DG/00479/2022, relativo al R.A. 132/2022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1" w:name="_heading=h.uq7v3kafh1av" w:colFirst="0" w:colLast="0"/>
            <w:bookmarkEnd w:id="31"/>
            <w:r>
              <w:rPr>
                <w:rFonts w:ascii="Montserrat" w:eastAsia="Montserrat" w:hAnsi="Montserrat" w:cs="Montserrat"/>
              </w:rPr>
              <w:t>SSPC/CENAPRED/DG/00490/2022, relativo al Juicio de Amparo 1530/2018-III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2" w:name="_heading=h.dhc3xrjkkmjc" w:colFirst="0" w:colLast="0"/>
            <w:bookmarkEnd w:id="32"/>
            <w:r>
              <w:rPr>
                <w:rFonts w:ascii="Montserrat" w:eastAsia="Montserrat" w:hAnsi="Montserrat" w:cs="Montserrat"/>
              </w:rPr>
              <w:t>SSPC/CENAPRED/DG/00516/2022, relativo al Juicio de Amparo  1536/2018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3" w:name="_heading=h.qdgy1ckblzn1" w:colFirst="0" w:colLast="0"/>
            <w:bookmarkEnd w:id="33"/>
            <w:r>
              <w:rPr>
                <w:rFonts w:ascii="Montserrat" w:eastAsia="Montserrat" w:hAnsi="Montserrat" w:cs="Montserrat"/>
              </w:rPr>
              <w:t>SSPC/CENAPRED/DG/00517/2022, relativo al R.A. 132/2022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4" w:name="_heading=h.enpevqzzn4b" w:colFirst="0" w:colLast="0"/>
            <w:bookmarkEnd w:id="34"/>
            <w:r>
              <w:rPr>
                <w:rFonts w:ascii="Montserrat" w:eastAsia="Montserrat" w:hAnsi="Montserrat" w:cs="Montserrat"/>
              </w:rPr>
              <w:t>SSPC/CENAPRED/DG/00554/2022, relativo al Juicio de Amparo 1167/2018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5" w:name="_heading=h.nfok9g1dh5cs" w:colFirst="0" w:colLast="0"/>
            <w:bookmarkEnd w:id="35"/>
            <w:r>
              <w:rPr>
                <w:rFonts w:ascii="Montserrat" w:eastAsia="Montserrat" w:hAnsi="Montserrat" w:cs="Montserrat"/>
              </w:rPr>
              <w:t>SSPC/CENAPRED/DG/00643/2022, relativo al Juicio de Amparo 593/2021 R.A. 181/2022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6" w:name="_heading=h.3grxu9fvsk3n" w:colFirst="0" w:colLast="0"/>
            <w:bookmarkEnd w:id="36"/>
            <w:r>
              <w:rPr>
                <w:rFonts w:ascii="Montserrat" w:eastAsia="Montserrat" w:hAnsi="Montserrat" w:cs="Montserrat"/>
              </w:rPr>
              <w:t>SSPC/CENAPRED/DG/00644/2022, relativo al Juicio de Amparo 823/2021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7" w:name="_heading=h.tf7kdrzgmv30" w:colFirst="0" w:colLast="0"/>
            <w:bookmarkEnd w:id="37"/>
            <w:r>
              <w:rPr>
                <w:rFonts w:ascii="Montserrat" w:eastAsia="Montserrat" w:hAnsi="Montserrat" w:cs="Montserrat"/>
              </w:rPr>
              <w:t>SSPC/CENAPRED/DG/00667/2022, relativo al</w:t>
            </w:r>
            <w:r>
              <w:rPr>
                <w:rFonts w:ascii="Montserrat" w:eastAsia="Montserrat" w:hAnsi="Montserrat" w:cs="Montserrat"/>
              </w:rPr>
              <w:t xml:space="preserve"> Juicio de Amparo 470/2019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8" w:name="_heading=h.16r3yehfkbv2" w:colFirst="0" w:colLast="0"/>
            <w:bookmarkEnd w:id="38"/>
            <w:r>
              <w:rPr>
                <w:rFonts w:ascii="Montserrat" w:eastAsia="Montserrat" w:hAnsi="Montserrat" w:cs="Montserrat"/>
              </w:rPr>
              <w:t>SSPC/CENAPRED/DG/00669/2022, relativo al Juicio de Amparo 1424/2013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39" w:name="_heading=h.5rllef2hv9wj" w:colFirst="0" w:colLast="0"/>
            <w:bookmarkEnd w:id="39"/>
            <w:r>
              <w:rPr>
                <w:rFonts w:ascii="Montserrat" w:eastAsia="Montserrat" w:hAnsi="Montserrat" w:cs="Montserrat"/>
              </w:rPr>
              <w:t>SSPC/CENAPRED/DG/00670/2022, relativo al Juicio de Amparo 1035/2013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0" w:name="_heading=h.mhjokk8bttsk" w:colFirst="0" w:colLast="0"/>
            <w:bookmarkEnd w:id="40"/>
            <w:r>
              <w:rPr>
                <w:rFonts w:ascii="Montserrat" w:eastAsia="Montserrat" w:hAnsi="Montserrat" w:cs="Montserrat"/>
              </w:rPr>
              <w:t>SSPC/CENAPRED/DG/00800/2022, relativo al Juicio de Amparo 1530/2018-III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1" w:name="_heading=h.pu2vcynaixik" w:colFirst="0" w:colLast="0"/>
            <w:bookmarkEnd w:id="41"/>
            <w:r>
              <w:rPr>
                <w:rFonts w:ascii="Montserrat" w:eastAsia="Montserrat" w:hAnsi="Montserrat" w:cs="Montserrat"/>
              </w:rPr>
              <w:t>SSPC/CENAPRED/DG/00865/2022, relativo al Juicio de Amparo 1281/2018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2" w:name="_heading=h.imdla6odh6qy" w:colFirst="0" w:colLast="0"/>
            <w:bookmarkEnd w:id="42"/>
            <w:r>
              <w:rPr>
                <w:rFonts w:ascii="Montserrat" w:eastAsia="Montserrat" w:hAnsi="Montserrat" w:cs="Montserrat"/>
              </w:rPr>
              <w:t>SSPC/CENAPRED/DG/00905/2022, relativo al Juicio de Amparo 1531/2018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3" w:name="_heading=h.7mbz7vhfipl7" w:colFirst="0" w:colLast="0"/>
            <w:bookmarkEnd w:id="43"/>
            <w:r>
              <w:rPr>
                <w:rFonts w:ascii="Montserrat" w:eastAsia="Montserrat" w:hAnsi="Montserrat" w:cs="Montserrat"/>
              </w:rPr>
              <w:t>SSPC/CENAPRED/DG/00962/2022, relativo al Juicio de Amparo 470/2019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4" w:name="_heading=h.dnb63zgr0su3" w:colFirst="0" w:colLast="0"/>
            <w:bookmarkEnd w:id="44"/>
            <w:r>
              <w:rPr>
                <w:rFonts w:ascii="Montserrat" w:eastAsia="Montserrat" w:hAnsi="Montserrat" w:cs="Montserrat"/>
              </w:rPr>
              <w:t>SSPC/CENAPRED/DG/00963/2022, relativo al Juicio de Am</w:t>
            </w:r>
            <w:r>
              <w:rPr>
                <w:rFonts w:ascii="Montserrat" w:eastAsia="Montserrat" w:hAnsi="Montserrat" w:cs="Montserrat"/>
              </w:rPr>
              <w:t>paro 1506/2018-IV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5" w:name="_heading=h.sw2hizr75ue4" w:colFirst="0" w:colLast="0"/>
            <w:bookmarkEnd w:id="45"/>
            <w:r>
              <w:rPr>
                <w:rFonts w:ascii="Montserrat" w:eastAsia="Montserrat" w:hAnsi="Montserrat" w:cs="Montserrat"/>
              </w:rPr>
              <w:t>SSPC/CENAPRED/DG/00983/2022, relativo al Juicio de Amparo 823/2021 en el R.A. 319/2022</w:t>
            </w:r>
          </w:p>
          <w:p w:rsidR="00203F7C" w:rsidRDefault="00F43CFF" w:rsidP="008B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both"/>
              <w:rPr>
                <w:rFonts w:ascii="Montserrat" w:eastAsia="Montserrat" w:hAnsi="Montserrat" w:cs="Montserrat"/>
              </w:rPr>
            </w:pPr>
            <w:bookmarkStart w:id="46" w:name="_heading=h.3gbvnm5bhmwn" w:colFirst="0" w:colLast="0"/>
            <w:bookmarkEnd w:id="46"/>
            <w:r>
              <w:rPr>
                <w:rFonts w:ascii="Montserrat" w:eastAsia="Montserrat" w:hAnsi="Montserrat" w:cs="Montserrat"/>
              </w:rPr>
              <w:t>SSPC/CENAPRED/DG/00984/2022, relativo al Juicio de Amparo 357/2020 en el  R.A. 179/2022</w:t>
            </w:r>
            <w:bookmarkStart w:id="47" w:name="_heading=h.4bssgua7y0qj" w:colFirst="0" w:colLast="0"/>
            <w:bookmarkEnd w:id="47"/>
            <w:r>
              <w:rPr>
                <w:rFonts w:ascii="Montserrat" w:eastAsia="Montserrat" w:hAnsi="Montserrat" w:cs="Montserrat"/>
              </w:rPr>
              <w:t xml:space="preserve"> </w:t>
            </w:r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lastRenderedPageBreak/>
              <w:t>Se revisó propuesta de oficio SSPC/CENAPRED/DG700817/2022, Di</w:t>
            </w:r>
            <w:r w:rsidRPr="008B3823">
              <w:rPr>
                <w:rFonts w:ascii="Montserrat" w:eastAsia="Montserrat" w:hAnsi="Montserrat" w:cs="Montserrat"/>
              </w:rPr>
              <w:t>ctamen de Corroboración del Fenómeno Natural Perturbador Movimiento de Ladera Oaxaca</w:t>
            </w:r>
            <w:bookmarkStart w:id="48" w:name="_heading=h.gc2ruc8m1h7" w:colFirst="0" w:colLast="0"/>
            <w:bookmarkEnd w:id="48"/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49" w:name="_heading=h.bup08yp0tr5w" w:colFirst="0" w:colLast="0"/>
            <w:bookmarkEnd w:id="49"/>
            <w:r w:rsidRPr="008B3823">
              <w:rPr>
                <w:rFonts w:ascii="Montserrat" w:eastAsia="Montserrat" w:hAnsi="Montserrat" w:cs="Montserrat"/>
              </w:rPr>
              <w:t xml:space="preserve">Se revisó propuesta de oficio  SSPC/CENAPRED/DG/00840/2022, respecto de la visita técnica en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Tetipán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 xml:space="preserve"> de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Juarez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Tlaxcoapan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 xml:space="preserve"> Hidalgo.</w:t>
            </w:r>
            <w:bookmarkStart w:id="50" w:name="_heading=h.37sqkq1z38aw" w:colFirst="0" w:colLast="0"/>
            <w:bookmarkEnd w:id="50"/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51" w:name="_heading=h.8o37lltn2qpu" w:colFirst="0" w:colLast="0"/>
            <w:bookmarkEnd w:id="51"/>
            <w:r w:rsidRPr="008B3823">
              <w:rPr>
                <w:rFonts w:ascii="Montserrat" w:eastAsia="Montserrat" w:hAnsi="Montserrat" w:cs="Montserrat"/>
              </w:rPr>
              <w:t>Se revisó propuesta de oficio  SSPC/CENAPRED/DG/00862/2022, respecto de una solicitud  de información referente a la equivalencia del Técnico Básico de Gestión Integral del Riesgo.</w:t>
            </w:r>
            <w:bookmarkStart w:id="52" w:name="_heading=h.r8klf78lham8" w:colFirst="0" w:colLast="0"/>
            <w:bookmarkEnd w:id="52"/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r w:rsidRPr="008B3823">
              <w:rPr>
                <w:rFonts w:ascii="Montserrat" w:eastAsia="Montserrat" w:hAnsi="Montserrat" w:cs="Montserrat"/>
              </w:rPr>
              <w:t>Se revisó propuesta de oficio SSPC/CENAPRED/DG/00881/2022, respecto de una</w:t>
            </w:r>
            <w:r w:rsidRPr="008B3823">
              <w:rPr>
                <w:rFonts w:ascii="Montserrat" w:eastAsia="Montserrat" w:hAnsi="Montserrat" w:cs="Montserrat"/>
              </w:rPr>
              <w:t xml:space="preserve"> solicitud de atención ciudadana del Representante de Paramount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Bay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 xml:space="preserve"> en Puerto Vallarta, Jalisco.</w:t>
            </w:r>
            <w:bookmarkStart w:id="53" w:name="_heading=h.culsk25jzi0x" w:colFirst="0" w:colLast="0"/>
            <w:bookmarkEnd w:id="53"/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54" w:name="_heading=h.kty983t2yqpl" w:colFirst="0" w:colLast="0"/>
            <w:bookmarkEnd w:id="54"/>
            <w:r w:rsidRPr="008B3823">
              <w:rPr>
                <w:rFonts w:ascii="Montserrat" w:eastAsia="Montserrat" w:hAnsi="Montserrat" w:cs="Montserrat"/>
              </w:rPr>
              <w:t>Se revisó propuesta de Oficio SSPC/CENAPRED/DG/ 00920/2022, respecto de una solicitud de información referente al recorrido coordinado por la SEDATU en el cau</w:t>
            </w:r>
            <w:r w:rsidRPr="008B3823">
              <w:rPr>
                <w:rFonts w:ascii="Montserrat" w:eastAsia="Montserrat" w:hAnsi="Montserrat" w:cs="Montserrat"/>
              </w:rPr>
              <w:t xml:space="preserve">ce del Arroyo del Indio en la localidad de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Bucerías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 xml:space="preserve">, Nayarit. Respuesta dirigida a la Mtra. Mirta Iliana </w:t>
            </w:r>
            <w:proofErr w:type="spellStart"/>
            <w:r w:rsidRPr="008B3823">
              <w:rPr>
                <w:rFonts w:ascii="Montserrat" w:eastAsia="Montserrat" w:hAnsi="Montserrat" w:cs="Montserrat"/>
              </w:rPr>
              <w:t>Villalvazo</w:t>
            </w:r>
            <w:proofErr w:type="spellEnd"/>
            <w:r w:rsidRPr="008B3823">
              <w:rPr>
                <w:rFonts w:ascii="Montserrat" w:eastAsia="Montserrat" w:hAnsi="Montserrat" w:cs="Montserrat"/>
              </w:rPr>
              <w:t xml:space="preserve"> Amaya, Presidenta Municipal de Bahía de Banderas, Nayarit.</w:t>
            </w:r>
            <w:bookmarkStart w:id="55" w:name="_heading=h.hs05oke9eqj7" w:colFirst="0" w:colLast="0"/>
            <w:bookmarkEnd w:id="55"/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56" w:name="_heading=h.tlxijl4u9mzx" w:colFirst="0" w:colLast="0"/>
            <w:bookmarkEnd w:id="56"/>
            <w:r w:rsidRPr="008B3823">
              <w:rPr>
                <w:rFonts w:ascii="Montserrat" w:eastAsia="Montserrat" w:hAnsi="Montserrat" w:cs="Montserrat"/>
              </w:rPr>
              <w:t>Se revisó propuesta de oficio SSPC/CENAPRED/DG/00904/2022, respecto a una revisi</w:t>
            </w:r>
            <w:r w:rsidRPr="008B3823">
              <w:rPr>
                <w:rFonts w:ascii="Montserrat" w:eastAsia="Montserrat" w:hAnsi="Montserrat" w:cs="Montserrat"/>
              </w:rPr>
              <w:t>ón estructural de edificio ubicado en el municipio de Coatepec Harinas, Estado de México.</w:t>
            </w:r>
            <w:bookmarkStart w:id="57" w:name="_heading=h.lt25ojit7sw1" w:colFirst="0" w:colLast="0"/>
            <w:bookmarkEnd w:id="57"/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58" w:name="_heading=h.roao6886xie3" w:colFirst="0" w:colLast="0"/>
            <w:bookmarkEnd w:id="58"/>
            <w:r w:rsidRPr="008B3823">
              <w:rPr>
                <w:rFonts w:ascii="Montserrat" w:eastAsia="Montserrat" w:hAnsi="Montserrat" w:cs="Montserrat"/>
              </w:rPr>
              <w:t xml:space="preserve">Se revisó propuesta de oficio SSPC/CENAPRED/DG/00930/2022, respecto de una solicitud de atención ciudadana al Presidente de “S.O.S.TULA”, remitida por la Secretaría </w:t>
            </w:r>
            <w:r w:rsidRPr="008B3823">
              <w:rPr>
                <w:rFonts w:ascii="Montserrat" w:eastAsia="Montserrat" w:hAnsi="Montserrat" w:cs="Montserrat"/>
              </w:rPr>
              <w:t>de Gobernación</w:t>
            </w:r>
            <w:bookmarkStart w:id="59" w:name="_heading=h.rqpjz1bg8y4p" w:colFirst="0" w:colLast="0"/>
            <w:bookmarkEnd w:id="59"/>
            <w:r w:rsidR="008B3823">
              <w:rPr>
                <w:rFonts w:ascii="Montserrat" w:eastAsia="Montserrat" w:hAnsi="Montserrat" w:cs="Montserrat"/>
              </w:rPr>
              <w:t>.</w:t>
            </w:r>
          </w:p>
          <w:p w:rsidR="00203F7C" w:rsidRPr="008B3823" w:rsidRDefault="00F43CFF" w:rsidP="008B3823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bookmarkStart w:id="60" w:name="_heading=h.o4vcg43vtbna" w:colFirst="0" w:colLast="0"/>
            <w:bookmarkEnd w:id="60"/>
            <w:r>
              <w:rPr>
                <w:rFonts w:ascii="Montserrat" w:eastAsia="Montserrat" w:hAnsi="Montserrat" w:cs="Montserrat"/>
              </w:rPr>
              <w:t>Se revisó propuesta de oficio SSPC/CENAPRED/DG/ 00965/2022, Dictamen de Corroboración  del Fenómenos Natural Perturbador Movimiento de Ladera, Veracruz</w:t>
            </w:r>
            <w:bookmarkStart w:id="61" w:name="_heading=h.54f7qhuq5yj8" w:colFirst="0" w:colLast="0"/>
            <w:bookmarkStart w:id="62" w:name="_heading=h.8k6sms78cw5g" w:colFirst="0" w:colLast="0"/>
            <w:bookmarkStart w:id="63" w:name="_heading=h.8iq9646tv79t" w:colFirst="0" w:colLast="0"/>
            <w:bookmarkEnd w:id="61"/>
            <w:bookmarkEnd w:id="62"/>
            <w:bookmarkEnd w:id="63"/>
          </w:p>
        </w:tc>
      </w:tr>
    </w:tbl>
    <w:p w:rsidR="005A692C" w:rsidRPr="002418AF" w:rsidRDefault="005A692C" w:rsidP="005A692C">
      <w:pPr>
        <w:rPr>
          <w:szCs w:val="20"/>
        </w:rPr>
      </w:pPr>
    </w:p>
    <w:p w:rsidR="005A692C" w:rsidRDefault="005A692C" w:rsidP="005A692C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5A692C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5A692C" w:rsidRPr="00E0735E" w:rsidRDefault="005A692C" w:rsidP="00FF6647">
            <w:pPr>
              <w:rPr>
                <w:rFonts w:ascii="Montserrat" w:hAnsi="Montserrat"/>
              </w:rPr>
            </w:pPr>
          </w:p>
          <w:p w:rsidR="005A692C" w:rsidRPr="00E0735E" w:rsidRDefault="005A692C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5A692C" w:rsidRPr="00E0735E" w:rsidRDefault="005A692C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5A692C" w:rsidRPr="00E0735E" w:rsidRDefault="005A692C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5A692C" w:rsidRPr="00E0735E" w:rsidRDefault="005A692C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5A692C" w:rsidRPr="00E0735E" w:rsidRDefault="005A692C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5A692C" w:rsidRPr="00E0735E" w:rsidRDefault="005A692C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5A692C" w:rsidRPr="00E0735E" w:rsidRDefault="005A692C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5A692C" w:rsidRPr="002418AF" w:rsidRDefault="005A692C" w:rsidP="005A692C">
      <w:pPr>
        <w:rPr>
          <w:szCs w:val="20"/>
        </w:rPr>
      </w:pPr>
    </w:p>
    <w:p w:rsidR="005A692C" w:rsidRPr="002418AF" w:rsidRDefault="005A692C" w:rsidP="005A692C">
      <w:pPr>
        <w:jc w:val="center"/>
        <w:rPr>
          <w:szCs w:val="20"/>
        </w:rPr>
      </w:pPr>
    </w:p>
    <w:p w:rsidR="005A692C" w:rsidRDefault="005A692C" w:rsidP="005A692C">
      <w:pPr>
        <w:jc w:val="center"/>
      </w:pPr>
    </w:p>
    <w:p w:rsidR="005A692C" w:rsidRDefault="005A692C" w:rsidP="005A692C"/>
    <w:p w:rsidR="00203F7C" w:rsidRDefault="00203F7C"/>
    <w:sectPr w:rsidR="00203F7C">
      <w:headerReference w:type="default" r:id="rId8"/>
      <w:pgSz w:w="12242" w:h="15842"/>
      <w:pgMar w:top="1985" w:right="851" w:bottom="426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FF" w:rsidRDefault="00F43CFF">
      <w:r>
        <w:separator/>
      </w:r>
    </w:p>
  </w:endnote>
  <w:endnote w:type="continuationSeparator" w:id="0">
    <w:p w:rsidR="00F43CFF" w:rsidRDefault="00F4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FF" w:rsidRDefault="00F43CFF">
      <w:r>
        <w:separator/>
      </w:r>
    </w:p>
  </w:footnote>
  <w:footnote w:type="continuationSeparator" w:id="0">
    <w:p w:rsidR="00F43CFF" w:rsidRDefault="00F4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C" w:rsidRDefault="00F43C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:absolute;mso-position-horizontal-relative:margin;mso-position-vertical:absolute;mso-position-vertical-relative:text;mso-width-relative:page;mso-height-relative:page">
          <v:imagedata r:id="rId1" o:title="degradado-CENAPREDH-200"/>
          <w10:wrap type="square" anchorx="margin"/>
        </v:shape>
      </w:pict>
    </w:r>
    <w:r>
      <w:pict>
        <v:shape id="_x0000_s2050" type="#_x0000_t75" style="position:absolute;left:0;text-align:left;margin-left:-4.1pt;margin-top:1.3pt;width:198.75pt;height:48pt;z-index:251661312;mso-position-horizontal:absolute;mso-position-horizontal-relative:margin;mso-position-vertical:absolute;mso-position-vertical-relative:text;mso-width-relative:page;mso-height-relative:page">
          <v:imagedata r:id="rId2" o:title="degradado-SINAPROCH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FD3"/>
    <w:multiLevelType w:val="multilevel"/>
    <w:tmpl w:val="913E6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46CDD"/>
    <w:multiLevelType w:val="multilevel"/>
    <w:tmpl w:val="42485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457D1"/>
    <w:multiLevelType w:val="multilevel"/>
    <w:tmpl w:val="523EA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6E3D52"/>
    <w:multiLevelType w:val="multilevel"/>
    <w:tmpl w:val="87728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C372F9"/>
    <w:multiLevelType w:val="multilevel"/>
    <w:tmpl w:val="1E40F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4668A5"/>
    <w:multiLevelType w:val="multilevel"/>
    <w:tmpl w:val="A44A2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BA5BD7"/>
    <w:multiLevelType w:val="multilevel"/>
    <w:tmpl w:val="FBC8C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241F0B"/>
    <w:multiLevelType w:val="multilevel"/>
    <w:tmpl w:val="25164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AF04E0"/>
    <w:multiLevelType w:val="multilevel"/>
    <w:tmpl w:val="69FC4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1669B8"/>
    <w:multiLevelType w:val="multilevel"/>
    <w:tmpl w:val="06985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A649A7"/>
    <w:multiLevelType w:val="multilevel"/>
    <w:tmpl w:val="BA68C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7C"/>
    <w:rsid w:val="00203F7C"/>
    <w:rsid w:val="003B5D18"/>
    <w:rsid w:val="005A692C"/>
    <w:rsid w:val="008B3823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1DDAB76-56C4-43C6-9DDA-92AB1957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Adobe Caslon Pro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normal4">
    <w:name w:val="Plain Table 4"/>
    <w:basedOn w:val="Tablanormal"/>
    <w:uiPriority w:val="44"/>
    <w:rsid w:val="005A692C"/>
    <w:rPr>
      <w:rFonts w:ascii="Times New Roman" w:eastAsia="Times New Roman" w:hAnsi="Times New Roman" w:cs="Times New Roman"/>
      <w:lang w:val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IG/hWM1kbEHf4DN3Jy/1oJCSw==">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Flores</dc:creator>
  <cp:lastModifiedBy>Mtro. Jose Manuel Jaime Lepe</cp:lastModifiedBy>
  <cp:revision>3</cp:revision>
  <cp:lastPrinted>2022-07-05T15:44:00Z</cp:lastPrinted>
  <dcterms:created xsi:type="dcterms:W3CDTF">2020-08-06T19:23:00Z</dcterms:created>
  <dcterms:modified xsi:type="dcterms:W3CDTF">2022-07-05T15:44:00Z</dcterms:modified>
</cp:coreProperties>
</file>