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E16F38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diciembre </w:t>
      </w:r>
      <w:r w:rsidR="00C76996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C76996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31683" w:rsidRPr="0013168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Elaborar, revisar, modificar, instrumentos jurídicos consensuales con el sector privado, público en materia de Gestión Integral de Riesgo de Desastres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2C6DA8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2C6DA8">
              <w:rPr>
                <w:rFonts w:ascii="Montserrat" w:hAnsi="Montserrat"/>
                <w:szCs w:val="20"/>
                <w:lang w:val="es-MX"/>
              </w:rPr>
              <w:t>Claudia Núñez Peredo</w:t>
            </w:r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5D0D5A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5D0D5A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  <w:bookmarkStart w:id="0" w:name="_GoBack"/>
            <w:bookmarkEnd w:id="0"/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EB4FDD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E16F38" w:rsidRDefault="00E16F38" w:rsidP="00E16F38">
            <w:pPr>
              <w:pStyle w:val="Prrafodelista"/>
              <w:spacing w:before="120" w:after="120" w:line="360" w:lineRule="auto"/>
              <w:ind w:left="0"/>
              <w:contextualSpacing w:val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 revisaron y emitieron comentarios a los siguientes instrumentos jurídicos:</w:t>
            </w:r>
          </w:p>
          <w:p w:rsidR="00E16F38" w:rsidRDefault="00E16F38" w:rsidP="00E16F38">
            <w:pPr>
              <w:pStyle w:val="Prrafodelista"/>
              <w:spacing w:before="120" w:after="120" w:line="360" w:lineRule="auto"/>
              <w:ind w:left="0" w:firstLine="360"/>
              <w:contextualSpacing w:val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1.- Convenio de Colaboración con la Universidad Nacional Autónoma de México que tiene como objetivo, </w:t>
            </w:r>
            <w:r w:rsidRPr="00DE054A">
              <w:rPr>
                <w:rFonts w:ascii="Montserrat" w:hAnsi="Montserrat"/>
              </w:rPr>
              <w:t xml:space="preserve">establecer nuevas bases para el desarrollo de actividades que fortalezcan los mecanismos para la identificación, evaluación y reducción de riesgos que permitan ampliar el conocimiento y la cooperación técnica relacionada con la Gestión Integral de Riesgos de Desastre, tales como la promoción y el desarrollo de la investigación, capacitación, profesionalización, difusión y otras en materia de previsión, prevención, mitigación y preparación, ante el riesgo de desastres y sus efectos, o de cualquier otro país </w:t>
            </w:r>
            <w:r>
              <w:rPr>
                <w:rFonts w:ascii="Montserrat" w:hAnsi="Montserrat"/>
              </w:rPr>
              <w:t>.</w:t>
            </w:r>
          </w:p>
          <w:p w:rsidR="00E16F38" w:rsidRDefault="00E16F38" w:rsidP="00E16F38">
            <w:pPr>
              <w:pStyle w:val="Prrafodelista"/>
              <w:tabs>
                <w:tab w:val="left" w:pos="1402"/>
              </w:tabs>
              <w:spacing w:before="120" w:after="120" w:line="360" w:lineRule="auto"/>
              <w:ind w:left="0" w:firstLine="360"/>
              <w:contextualSpacing w:val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2.- Convenio Marco de Coordinación, Colaboración y Concertación Interinstitucional con diversas instituciones académicas públicas y privadas, el cual tiene por objetivo conformar la Red Nacional de Escuelas de Protección Civil.</w:t>
            </w:r>
          </w:p>
          <w:p w:rsidR="00E16F38" w:rsidRDefault="00E16F38" w:rsidP="00E16F38">
            <w:pPr>
              <w:pStyle w:val="Prrafodelista"/>
              <w:tabs>
                <w:tab w:val="left" w:pos="1402"/>
              </w:tabs>
              <w:spacing w:before="120" w:after="120" w:line="360" w:lineRule="auto"/>
              <w:ind w:left="0" w:firstLine="360"/>
              <w:contextualSpacing w:val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3.- Acuerdo Interinstitucional de Cooperación en materia de Gestión del Riesgo de Desastres con el Centro Nacional de Estimación, Prevención y Reducción del Riesgo de Desastres de la República del Perú, cuyo objeto es el de</w:t>
            </w:r>
            <w:r w:rsidRPr="000E6B14">
              <w:rPr>
                <w:rFonts w:ascii="Montserrat" w:hAnsi="Montserrat"/>
              </w:rPr>
              <w:t>sarroll</w:t>
            </w:r>
            <w:r>
              <w:rPr>
                <w:rFonts w:ascii="Montserrat" w:hAnsi="Montserrat"/>
              </w:rPr>
              <w:t xml:space="preserve">o de </w:t>
            </w:r>
            <w:r w:rsidRPr="000E6B14">
              <w:rPr>
                <w:rFonts w:ascii="Montserrat" w:hAnsi="Montserrat"/>
              </w:rPr>
              <w:t>actividades de cooperación encaminadas al intercambio de conocimientos y experiencias en los procesos de estimación, prevención, reducción del riesgo y reconstrucción, así como al fortalecimiento de la coordinación bilateral y regional en la gestión del riesgo de desastres</w:t>
            </w:r>
            <w:r>
              <w:rPr>
                <w:rFonts w:ascii="Montserrat" w:hAnsi="Montserrat"/>
              </w:rPr>
              <w:t>.</w:t>
            </w:r>
          </w:p>
          <w:p w:rsidR="00E16F38" w:rsidRDefault="00E16F38" w:rsidP="00E16F38">
            <w:pPr>
              <w:pStyle w:val="Prrafodelista"/>
              <w:tabs>
                <w:tab w:val="left" w:pos="1402"/>
              </w:tabs>
              <w:spacing w:before="120" w:after="120" w:line="360" w:lineRule="auto"/>
              <w:ind w:left="0" w:firstLine="360"/>
              <w:contextualSpacing w:val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4.- Convenio de Coordinación General con la Coordinación Estatal de Protección Civil del estado de Morelos, </w:t>
            </w:r>
            <w:r w:rsidRPr="000E6B14">
              <w:rPr>
                <w:rFonts w:ascii="Montserrat" w:hAnsi="Montserrat"/>
              </w:rPr>
              <w:t>para fortalecer las capacidades académicas de la Escuela Estatal de Protección Civil,</w:t>
            </w:r>
            <w:r>
              <w:rPr>
                <w:rFonts w:ascii="Montserrat" w:hAnsi="Montserrat"/>
              </w:rPr>
              <w:t xml:space="preserve"> el cual tiene como objetivo es </w:t>
            </w:r>
            <w:r w:rsidRPr="000E6B14">
              <w:rPr>
                <w:rFonts w:ascii="Montserrat" w:hAnsi="Montserrat"/>
              </w:rPr>
              <w:t xml:space="preserve">el fortalecimiento de los conocimientos, competencias, habilidades y destrezas de los recursos humanos en el ámbito de la Protección Civil y la sostenibilidad, mediante el desarrollo de proyectos, la implementación de materias teóricas, prácticas y de especialización, así como </w:t>
            </w:r>
            <w:r w:rsidRPr="000E6B14">
              <w:rPr>
                <w:rFonts w:ascii="Montserrat" w:hAnsi="Montserrat"/>
              </w:rPr>
              <w:lastRenderedPageBreak/>
              <w:t>actividades conjuntas de acuerdo con sus atribuciones en los temas relacionados.</w:t>
            </w:r>
          </w:p>
          <w:p w:rsidR="00E16F38" w:rsidRDefault="00E16F38" w:rsidP="00E16F38">
            <w:pPr>
              <w:pStyle w:val="Prrafodelista"/>
              <w:tabs>
                <w:tab w:val="left" w:pos="1402"/>
              </w:tabs>
              <w:spacing w:before="120" w:after="120" w:line="360" w:lineRule="auto"/>
              <w:ind w:left="0" w:firstLine="360"/>
              <w:contextualSpacing w:val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5.- Contrato de Donación con la Universidad Nacional Autónoma de México. </w:t>
            </w:r>
            <w:proofErr w:type="gramStart"/>
            <w:r>
              <w:rPr>
                <w:rFonts w:ascii="Montserrat" w:hAnsi="Montserrat"/>
              </w:rPr>
              <w:t>el</w:t>
            </w:r>
            <w:proofErr w:type="gramEnd"/>
            <w:r>
              <w:rPr>
                <w:rFonts w:ascii="Montserrat" w:hAnsi="Montserrat"/>
              </w:rPr>
              <w:t xml:space="preserve"> cual tiene como objetivo </w:t>
            </w:r>
            <w:r w:rsidRPr="000E6B14">
              <w:rPr>
                <w:rFonts w:ascii="Montserrat" w:hAnsi="Montserrat"/>
              </w:rPr>
              <w:t xml:space="preserve">otorga mediante donación pura y simple </w:t>
            </w:r>
            <w:r>
              <w:rPr>
                <w:rFonts w:ascii="Montserrat" w:hAnsi="Montserrat"/>
              </w:rPr>
              <w:t xml:space="preserve">bienes con los que se realicen </w:t>
            </w:r>
            <w:r w:rsidRPr="000E6B14">
              <w:rPr>
                <w:rFonts w:ascii="Montserrat" w:hAnsi="Montserrat"/>
              </w:rPr>
              <w:t>estudios de la sismicidad</w:t>
            </w:r>
            <w:r>
              <w:rPr>
                <w:rFonts w:ascii="Montserrat" w:hAnsi="Montserrat"/>
              </w:rPr>
              <w:t>; así como l</w:t>
            </w:r>
            <w:r w:rsidRPr="000E6B14">
              <w:rPr>
                <w:rFonts w:ascii="Montserrat" w:hAnsi="Montserrat"/>
              </w:rPr>
              <w:t>a incorporación de las nuevas señales sísmicas con base</w:t>
            </w:r>
            <w:r>
              <w:rPr>
                <w:rFonts w:ascii="Montserrat" w:hAnsi="Montserrat"/>
              </w:rPr>
              <w:t xml:space="preserve"> en la teoría de campos difusos, lo que </w:t>
            </w:r>
            <w:r w:rsidRPr="000E6B14">
              <w:rPr>
                <w:rFonts w:ascii="Montserrat" w:hAnsi="Montserrat"/>
              </w:rPr>
              <w:t xml:space="preserve">permitirá calcular pequeñas perturbaciones en el campo de velocidades de propagación de las ondas. </w:t>
            </w:r>
          </w:p>
          <w:p w:rsidR="00E16F38" w:rsidRDefault="00E16F38" w:rsidP="00E16F38">
            <w:pPr>
              <w:pStyle w:val="Prrafodelista"/>
              <w:tabs>
                <w:tab w:val="left" w:pos="1402"/>
              </w:tabs>
              <w:spacing w:before="120" w:after="120" w:line="360" w:lineRule="auto"/>
              <w:ind w:left="0" w:firstLine="360"/>
              <w:contextualSpacing w:val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6.- Convenio Marco de Coordinación Institucional con el Gobierno de la Ciudad de México, la Universidad Nacional Autónoma de México y el Centro de Instrumentación y Registró Sísmico, Asociación Civil, cuyo objetivo es </w:t>
            </w:r>
            <w:r w:rsidRPr="00851D3D">
              <w:rPr>
                <w:rFonts w:ascii="Montserrat" w:hAnsi="Montserrat"/>
              </w:rPr>
              <w:t>constituir “la Red Sísmica de la Ciudad de México", con el propósito de monitorear y caracterizar la sismicidad local y generar oportunamente mapas de intensidades y estimaciones de daños que contribuyan a una respuesta rápida y eficaz por parte de los tomadores de decisiones. Además, para mejorar los tiempos de respuesta y reducir la incertidumbre en las aplicaciones orientadas a la mitigación del riesgo y consolidar la infraestructura necesaria para el desarrollo de investigación sismológica en la Ciudad de México que se traduzca, entre otras cosas, en mejoras del reglamento de construcción y en políticas públicas relacionadas con el desarrollo, crecimiento y sustentabilidad de la ciudad</w:t>
            </w:r>
            <w:r>
              <w:rPr>
                <w:rFonts w:ascii="Montserrat" w:hAnsi="Montserrat"/>
              </w:rPr>
              <w:t>.</w:t>
            </w:r>
          </w:p>
          <w:p w:rsidR="002418AF" w:rsidRPr="00E16F38" w:rsidRDefault="00E16F38" w:rsidP="00E16F38">
            <w:pPr>
              <w:pStyle w:val="Prrafodelista"/>
              <w:spacing w:before="120" w:after="120" w:line="360" w:lineRule="auto"/>
              <w:ind w:left="0"/>
              <w:contextualSpacing w:val="0"/>
              <w:jc w:val="both"/>
              <w:rPr>
                <w:rFonts w:ascii="Montserrat" w:hAnsi="Montserrat"/>
              </w:rPr>
            </w:pPr>
            <w:r w:rsidRPr="005457E8">
              <w:rPr>
                <w:rFonts w:ascii="Montserrat" w:hAnsi="Montserrat"/>
                <w:szCs w:val="20"/>
              </w:rPr>
              <w:t>En cumplimiento a los compromisos RH4 “</w:t>
            </w:r>
            <w:r w:rsidRPr="005457E8">
              <w:rPr>
                <w:rFonts w:ascii="Montserrat" w:hAnsi="Montserrat"/>
                <w:i/>
                <w:szCs w:val="20"/>
              </w:rPr>
              <w:t xml:space="preserve">Conformar y actualizar el inventario de normas internas….” </w:t>
            </w:r>
            <w:r w:rsidRPr="005457E8">
              <w:rPr>
                <w:rFonts w:ascii="Montserrat" w:hAnsi="Montserrat"/>
                <w:szCs w:val="20"/>
              </w:rPr>
              <w:t xml:space="preserve">y RH5 </w:t>
            </w:r>
            <w:r w:rsidRPr="005457E8">
              <w:rPr>
                <w:rFonts w:ascii="Montserrat" w:hAnsi="Montserrat"/>
                <w:i/>
                <w:szCs w:val="20"/>
              </w:rPr>
              <w:t>“Desarrollar acciones de simplificación y mejora … y las normas internas para contribuir al logro de los objetivos y metas institucionales”</w:t>
            </w:r>
            <w:r w:rsidRPr="005457E8">
              <w:rPr>
                <w:rFonts w:ascii="Montserrat" w:hAnsi="Montserrat"/>
                <w:szCs w:val="20"/>
              </w:rPr>
              <w:t>, de las Bases de Colaboración por el que se implementa el Programa Nacional de Combate a la Corrupción y a la Impunidad, y de Mejora a la Gestión Pública 2019-2024, ambos enfocados a la conformación y actualización del inventario de normas internas del CENAPRED; en ese tenor se dieron de baja del Sistema de Administración de Normas Internas de la Administración Pública Federal (SANI-APF), 8 normas internas</w:t>
            </w:r>
            <w:r>
              <w:rPr>
                <w:rFonts w:ascii="Montserrat" w:hAnsi="Montserrat"/>
                <w:szCs w:val="20"/>
              </w:rPr>
              <w:t>; se incluyeron en el proyecto de Manual de Procesos y Procedimientos del CENAPRED 9 normas internas.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AA" w:rsidRDefault="005150AA">
      <w:r>
        <w:separator/>
      </w:r>
    </w:p>
  </w:endnote>
  <w:endnote w:type="continuationSeparator" w:id="0">
    <w:p w:rsidR="005150AA" w:rsidRDefault="0051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AA" w:rsidRDefault="005150AA">
      <w:r>
        <w:separator/>
      </w:r>
    </w:p>
  </w:footnote>
  <w:footnote w:type="continuationSeparator" w:id="0">
    <w:p w:rsidR="005150AA" w:rsidRDefault="0051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5150AA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3F724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2B5"/>
    <w:multiLevelType w:val="hybridMultilevel"/>
    <w:tmpl w:val="5E684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2"/>
  </w:num>
  <w:num w:numId="4">
    <w:abstractNumId w:val="11"/>
  </w:num>
  <w:num w:numId="5">
    <w:abstractNumId w:val="34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35"/>
  </w:num>
  <w:num w:numId="28">
    <w:abstractNumId w:val="38"/>
  </w:num>
  <w:num w:numId="29">
    <w:abstractNumId w:val="21"/>
  </w:num>
  <w:num w:numId="30">
    <w:abstractNumId w:val="15"/>
  </w:num>
  <w:num w:numId="31">
    <w:abstractNumId w:val="17"/>
  </w:num>
  <w:num w:numId="32">
    <w:abstractNumId w:val="37"/>
  </w:num>
  <w:num w:numId="33">
    <w:abstractNumId w:val="29"/>
  </w:num>
  <w:num w:numId="34">
    <w:abstractNumId w:val="12"/>
  </w:num>
  <w:num w:numId="35">
    <w:abstractNumId w:val="14"/>
  </w:num>
  <w:num w:numId="36">
    <w:abstractNumId w:val="27"/>
  </w:num>
  <w:num w:numId="37">
    <w:abstractNumId w:val="28"/>
  </w:num>
  <w:num w:numId="38">
    <w:abstractNumId w:val="18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8685C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0F2496"/>
    <w:rsid w:val="00110AE4"/>
    <w:rsid w:val="00111C19"/>
    <w:rsid w:val="0011421D"/>
    <w:rsid w:val="0012083F"/>
    <w:rsid w:val="00122220"/>
    <w:rsid w:val="0012226A"/>
    <w:rsid w:val="001223DF"/>
    <w:rsid w:val="00131683"/>
    <w:rsid w:val="00135E05"/>
    <w:rsid w:val="00145B9D"/>
    <w:rsid w:val="0014768D"/>
    <w:rsid w:val="00153972"/>
    <w:rsid w:val="00160503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0C04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515AE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C6DA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177F6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0AA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3743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0D5A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0F1E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2580"/>
    <w:rsid w:val="0070712B"/>
    <w:rsid w:val="0071044D"/>
    <w:rsid w:val="00710465"/>
    <w:rsid w:val="0071119A"/>
    <w:rsid w:val="00715FC0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759B3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477E"/>
    <w:rsid w:val="008D0BF1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5EE0"/>
    <w:rsid w:val="008F67FF"/>
    <w:rsid w:val="00905798"/>
    <w:rsid w:val="009064C2"/>
    <w:rsid w:val="0090684E"/>
    <w:rsid w:val="00907927"/>
    <w:rsid w:val="00907EB5"/>
    <w:rsid w:val="009115FC"/>
    <w:rsid w:val="00917022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70A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83D01"/>
    <w:rsid w:val="00A90D13"/>
    <w:rsid w:val="00A92215"/>
    <w:rsid w:val="00A9361B"/>
    <w:rsid w:val="00A97F17"/>
    <w:rsid w:val="00AA008F"/>
    <w:rsid w:val="00AA2B7C"/>
    <w:rsid w:val="00AA2F1B"/>
    <w:rsid w:val="00AA34E6"/>
    <w:rsid w:val="00AA43C9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6FDB"/>
    <w:rsid w:val="00AF765B"/>
    <w:rsid w:val="00B0524C"/>
    <w:rsid w:val="00B17F59"/>
    <w:rsid w:val="00B21225"/>
    <w:rsid w:val="00B30288"/>
    <w:rsid w:val="00B31F21"/>
    <w:rsid w:val="00B336FD"/>
    <w:rsid w:val="00B34A71"/>
    <w:rsid w:val="00B353B9"/>
    <w:rsid w:val="00B35641"/>
    <w:rsid w:val="00B40EC2"/>
    <w:rsid w:val="00B42724"/>
    <w:rsid w:val="00B51E66"/>
    <w:rsid w:val="00B528B1"/>
    <w:rsid w:val="00B57701"/>
    <w:rsid w:val="00B65AE9"/>
    <w:rsid w:val="00B66645"/>
    <w:rsid w:val="00B66C96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613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1FF5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6996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24B9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95FB4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E6944"/>
    <w:rsid w:val="00DF26B1"/>
    <w:rsid w:val="00E10818"/>
    <w:rsid w:val="00E16F38"/>
    <w:rsid w:val="00E24632"/>
    <w:rsid w:val="00E25B38"/>
    <w:rsid w:val="00E2744D"/>
    <w:rsid w:val="00E35CE3"/>
    <w:rsid w:val="00E43149"/>
    <w:rsid w:val="00E54DE2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4FDD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252B7"/>
    <w:rsid w:val="00F331AF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B263815-D9BC-431E-9186-75C4B7E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194-DF0D-4997-9754-62D55D13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14</cp:revision>
  <cp:lastPrinted>2019-04-23T16:36:00Z</cp:lastPrinted>
  <dcterms:created xsi:type="dcterms:W3CDTF">2020-08-06T19:26:00Z</dcterms:created>
  <dcterms:modified xsi:type="dcterms:W3CDTF">2022-01-20T19:17:00Z</dcterms:modified>
</cp:coreProperties>
</file>