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13" w:rsidRDefault="00D00613" w:rsidP="00FE4AE1">
      <w:pPr>
        <w:spacing w:after="0" w:line="240" w:lineRule="auto"/>
      </w:pPr>
    </w:p>
    <w:p w:rsidR="00FE4AE1" w:rsidRDefault="00FE4AE1" w:rsidP="00FE4AE1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1"/>
        <w:gridCol w:w="1035"/>
        <w:gridCol w:w="1256"/>
      </w:tblGrid>
      <w:tr w:rsidR="00FE4AE1" w:rsidRPr="00FE4AE1" w:rsidTr="00C40A03">
        <w:trPr>
          <w:trHeight w:val="288"/>
        </w:trPr>
        <w:tc>
          <w:tcPr>
            <w:tcW w:w="5912" w:type="dxa"/>
            <w:gridSpan w:val="3"/>
            <w:noWrap/>
            <w:hideMark/>
          </w:tcPr>
          <w:p w:rsidR="00FE4AE1" w:rsidRPr="00FE4AE1" w:rsidRDefault="00FE4AE1" w:rsidP="00FE4AE1">
            <w:pPr>
              <w:jc w:val="center"/>
            </w:pPr>
            <w:r>
              <w:rPr>
                <w:b/>
                <w:bCs/>
              </w:rPr>
              <w:t>Accidentes en México con</w:t>
            </w:r>
            <w:r w:rsidRPr="00FE4AE1">
              <w:rPr>
                <w:b/>
                <w:bCs/>
              </w:rPr>
              <w:t xml:space="preserve"> gas LP (2010-2020)</w:t>
            </w:r>
            <w:r w:rsidR="00827EB9">
              <w:rPr>
                <w:b/>
                <w:bCs/>
              </w:rPr>
              <w:t xml:space="preserve"> *</w:t>
            </w:r>
          </w:p>
        </w:tc>
      </w:tr>
      <w:tr w:rsidR="00FE4AE1" w:rsidRPr="00FE4AE1" w:rsidTr="00FE4AE1">
        <w:trPr>
          <w:trHeight w:val="288"/>
        </w:trPr>
        <w:tc>
          <w:tcPr>
            <w:tcW w:w="3621" w:type="dxa"/>
            <w:noWrap/>
            <w:hideMark/>
          </w:tcPr>
          <w:p w:rsidR="00FE4AE1" w:rsidRPr="00FE4AE1" w:rsidRDefault="00FE4AE1" w:rsidP="00FE4AE1"/>
        </w:tc>
        <w:tc>
          <w:tcPr>
            <w:tcW w:w="1035" w:type="dxa"/>
            <w:noWrap/>
            <w:hideMark/>
          </w:tcPr>
          <w:p w:rsidR="00FE4AE1" w:rsidRPr="00FE4AE1" w:rsidRDefault="00FE4AE1" w:rsidP="00FE4AE1">
            <w:pPr>
              <w:rPr>
                <w:b/>
              </w:rPr>
            </w:pPr>
            <w:r w:rsidRPr="00FE4AE1">
              <w:rPr>
                <w:b/>
              </w:rPr>
              <w:t>Cantidad</w:t>
            </w:r>
          </w:p>
        </w:tc>
        <w:tc>
          <w:tcPr>
            <w:tcW w:w="1256" w:type="dxa"/>
            <w:noWrap/>
            <w:hideMark/>
          </w:tcPr>
          <w:p w:rsidR="00FE4AE1" w:rsidRPr="00FE4AE1" w:rsidRDefault="00FE4AE1" w:rsidP="00FE4AE1">
            <w:pPr>
              <w:rPr>
                <w:b/>
              </w:rPr>
            </w:pPr>
            <w:r w:rsidRPr="00FE4AE1">
              <w:rPr>
                <w:b/>
              </w:rPr>
              <w:t>Porcentaje</w:t>
            </w:r>
          </w:p>
        </w:tc>
      </w:tr>
      <w:tr w:rsidR="00FE4AE1" w:rsidRPr="00FE4AE1" w:rsidTr="00FE4AE1">
        <w:trPr>
          <w:trHeight w:val="288"/>
        </w:trPr>
        <w:tc>
          <w:tcPr>
            <w:tcW w:w="3621" w:type="dxa"/>
            <w:noWrap/>
            <w:hideMark/>
          </w:tcPr>
          <w:p w:rsidR="00FE4AE1" w:rsidRPr="00FE4AE1" w:rsidRDefault="00FE4AE1" w:rsidP="00FE4AE1">
            <w:r w:rsidRPr="00FE4AE1">
              <w:t>Accidentes urbanos</w:t>
            </w:r>
          </w:p>
        </w:tc>
        <w:tc>
          <w:tcPr>
            <w:tcW w:w="1035" w:type="dxa"/>
            <w:noWrap/>
            <w:hideMark/>
          </w:tcPr>
          <w:p w:rsidR="00FE4AE1" w:rsidRPr="00FE4AE1" w:rsidRDefault="00FE4AE1" w:rsidP="00FE4AE1">
            <w:r w:rsidRPr="00FE4AE1">
              <w:t>914</w:t>
            </w:r>
          </w:p>
        </w:tc>
        <w:tc>
          <w:tcPr>
            <w:tcW w:w="1256" w:type="dxa"/>
            <w:noWrap/>
            <w:hideMark/>
          </w:tcPr>
          <w:p w:rsidR="00FE4AE1" w:rsidRPr="00FE4AE1" w:rsidRDefault="00FE4AE1" w:rsidP="00FE4AE1">
            <w:r w:rsidRPr="00FE4AE1">
              <w:t>64.14</w:t>
            </w:r>
          </w:p>
        </w:tc>
      </w:tr>
      <w:tr w:rsidR="00FE4AE1" w:rsidRPr="00FE4AE1" w:rsidTr="00FE4AE1">
        <w:trPr>
          <w:trHeight w:val="288"/>
        </w:trPr>
        <w:tc>
          <w:tcPr>
            <w:tcW w:w="3621" w:type="dxa"/>
            <w:noWrap/>
            <w:hideMark/>
          </w:tcPr>
          <w:p w:rsidR="00FE4AE1" w:rsidRPr="00FE4AE1" w:rsidRDefault="00FE4AE1" w:rsidP="00FE4AE1">
            <w:r>
              <w:t>Accid</w:t>
            </w:r>
            <w:r w:rsidRPr="00FE4AE1">
              <w:t>entes en transporte y distribución</w:t>
            </w:r>
          </w:p>
        </w:tc>
        <w:tc>
          <w:tcPr>
            <w:tcW w:w="1035" w:type="dxa"/>
            <w:noWrap/>
            <w:hideMark/>
          </w:tcPr>
          <w:p w:rsidR="00FE4AE1" w:rsidRPr="00FE4AE1" w:rsidRDefault="00FE4AE1" w:rsidP="00FE4AE1">
            <w:r w:rsidRPr="00FE4AE1">
              <w:t>442</w:t>
            </w:r>
          </w:p>
        </w:tc>
        <w:tc>
          <w:tcPr>
            <w:tcW w:w="1256" w:type="dxa"/>
            <w:noWrap/>
            <w:hideMark/>
          </w:tcPr>
          <w:p w:rsidR="00FE4AE1" w:rsidRPr="00FE4AE1" w:rsidRDefault="00FE4AE1" w:rsidP="00FE4AE1">
            <w:r w:rsidRPr="00FE4AE1">
              <w:t>31.02</w:t>
            </w:r>
          </w:p>
        </w:tc>
      </w:tr>
      <w:tr w:rsidR="00FE4AE1" w:rsidRPr="00FE4AE1" w:rsidTr="00FE4AE1">
        <w:trPr>
          <w:trHeight w:val="288"/>
        </w:trPr>
        <w:tc>
          <w:tcPr>
            <w:tcW w:w="3621" w:type="dxa"/>
            <w:noWrap/>
            <w:hideMark/>
          </w:tcPr>
          <w:p w:rsidR="00FE4AE1" w:rsidRPr="00FE4AE1" w:rsidRDefault="00FE4AE1" w:rsidP="00FE4AE1">
            <w:r>
              <w:t>Accidentes ind</w:t>
            </w:r>
            <w:r w:rsidRPr="00FE4AE1">
              <w:t>ustriales</w:t>
            </w:r>
          </w:p>
        </w:tc>
        <w:tc>
          <w:tcPr>
            <w:tcW w:w="1035" w:type="dxa"/>
            <w:noWrap/>
            <w:hideMark/>
          </w:tcPr>
          <w:p w:rsidR="00FE4AE1" w:rsidRPr="00FE4AE1" w:rsidRDefault="00FE4AE1" w:rsidP="00FE4AE1">
            <w:r w:rsidRPr="00FE4AE1">
              <w:t>69</w:t>
            </w:r>
          </w:p>
        </w:tc>
        <w:tc>
          <w:tcPr>
            <w:tcW w:w="1256" w:type="dxa"/>
            <w:noWrap/>
            <w:hideMark/>
          </w:tcPr>
          <w:p w:rsidR="00FE4AE1" w:rsidRPr="00FE4AE1" w:rsidRDefault="00FE4AE1" w:rsidP="00FE4AE1">
            <w:r w:rsidRPr="00FE4AE1">
              <w:t>4.84</w:t>
            </w:r>
          </w:p>
        </w:tc>
      </w:tr>
      <w:tr w:rsidR="00FE4AE1" w:rsidRPr="00FE4AE1" w:rsidTr="00FE4AE1">
        <w:trPr>
          <w:trHeight w:val="288"/>
        </w:trPr>
        <w:tc>
          <w:tcPr>
            <w:tcW w:w="3621" w:type="dxa"/>
            <w:noWrap/>
            <w:hideMark/>
          </w:tcPr>
          <w:p w:rsidR="00FE4AE1" w:rsidRPr="00FE4AE1" w:rsidRDefault="00FE4AE1" w:rsidP="00FE4AE1">
            <w:r w:rsidRPr="00FE4AE1">
              <w:t>Total</w:t>
            </w:r>
          </w:p>
        </w:tc>
        <w:tc>
          <w:tcPr>
            <w:tcW w:w="1035" w:type="dxa"/>
            <w:noWrap/>
            <w:hideMark/>
          </w:tcPr>
          <w:p w:rsidR="00FE4AE1" w:rsidRPr="00FE4AE1" w:rsidRDefault="00FE4AE1" w:rsidP="00FE4AE1">
            <w:r w:rsidRPr="00FE4AE1">
              <w:t>1425</w:t>
            </w:r>
          </w:p>
        </w:tc>
        <w:tc>
          <w:tcPr>
            <w:tcW w:w="1256" w:type="dxa"/>
            <w:noWrap/>
            <w:hideMark/>
          </w:tcPr>
          <w:p w:rsidR="00FE4AE1" w:rsidRPr="00FE4AE1" w:rsidRDefault="00FE4AE1" w:rsidP="00FE4AE1">
            <w:r w:rsidRPr="00FE4AE1">
              <w:t>100</w:t>
            </w:r>
          </w:p>
        </w:tc>
      </w:tr>
    </w:tbl>
    <w:p w:rsidR="00FE4AE1" w:rsidRDefault="00827EB9" w:rsidP="00FE4AE1">
      <w:pPr>
        <w:spacing w:after="0" w:line="240" w:lineRule="auto"/>
      </w:pPr>
      <w:r w:rsidRPr="00827EB9">
        <w:rPr>
          <w:b/>
        </w:rPr>
        <w:t>*</w:t>
      </w:r>
      <w:r w:rsidRPr="00827EB9">
        <w:t xml:space="preserve"> Base Datos de Accidentes Relevantes, CENAPRED</w:t>
      </w:r>
    </w:p>
    <w:p w:rsidR="00FE4AE1" w:rsidRDefault="00FE4AE1" w:rsidP="00FE4AE1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3"/>
        <w:gridCol w:w="1626"/>
        <w:gridCol w:w="2069"/>
      </w:tblGrid>
      <w:tr w:rsidR="00FE4AE1" w:rsidRPr="00FE4AE1" w:rsidTr="0039043F">
        <w:trPr>
          <w:trHeight w:val="288"/>
        </w:trPr>
        <w:tc>
          <w:tcPr>
            <w:tcW w:w="8818" w:type="dxa"/>
            <w:gridSpan w:val="3"/>
            <w:noWrap/>
            <w:hideMark/>
          </w:tcPr>
          <w:p w:rsidR="00FE4AE1" w:rsidRPr="00FE4AE1" w:rsidRDefault="00FE4AE1" w:rsidP="00FE4AE1">
            <w:pPr>
              <w:jc w:val="center"/>
            </w:pPr>
            <w:r w:rsidRPr="00FE4AE1">
              <w:rPr>
                <w:b/>
                <w:bCs/>
              </w:rPr>
              <w:t>Causas de accidentes urbanos con gas LP</w:t>
            </w:r>
          </w:p>
        </w:tc>
      </w:tr>
      <w:tr w:rsidR="00FE4AE1" w:rsidRPr="00FE4AE1" w:rsidTr="00FE4AE1">
        <w:trPr>
          <w:trHeight w:val="288"/>
        </w:trPr>
        <w:tc>
          <w:tcPr>
            <w:tcW w:w="5123" w:type="dxa"/>
            <w:noWrap/>
            <w:hideMark/>
          </w:tcPr>
          <w:p w:rsidR="00FE4AE1" w:rsidRPr="00FE4AE1" w:rsidRDefault="00FE4AE1" w:rsidP="00FE4AE1"/>
        </w:tc>
        <w:tc>
          <w:tcPr>
            <w:tcW w:w="1626" w:type="dxa"/>
            <w:noWrap/>
            <w:hideMark/>
          </w:tcPr>
          <w:p w:rsidR="00FE4AE1" w:rsidRPr="00FE4AE1" w:rsidRDefault="00FE4AE1" w:rsidP="00FE4AE1">
            <w:pPr>
              <w:rPr>
                <w:b/>
              </w:rPr>
            </w:pPr>
            <w:r w:rsidRPr="00FE4AE1">
              <w:rPr>
                <w:b/>
              </w:rPr>
              <w:t>Cantidad</w:t>
            </w:r>
          </w:p>
        </w:tc>
        <w:tc>
          <w:tcPr>
            <w:tcW w:w="2069" w:type="dxa"/>
            <w:noWrap/>
            <w:hideMark/>
          </w:tcPr>
          <w:p w:rsidR="00FE4AE1" w:rsidRPr="00FE4AE1" w:rsidRDefault="00FE4AE1" w:rsidP="00FE4AE1">
            <w:pPr>
              <w:rPr>
                <w:b/>
              </w:rPr>
            </w:pPr>
            <w:r w:rsidRPr="00FE4AE1">
              <w:rPr>
                <w:b/>
              </w:rPr>
              <w:t>Porcentaje</w:t>
            </w:r>
          </w:p>
        </w:tc>
      </w:tr>
      <w:tr w:rsidR="00FE4AE1" w:rsidRPr="00FE4AE1" w:rsidTr="00FE4AE1">
        <w:trPr>
          <w:trHeight w:val="288"/>
        </w:trPr>
        <w:tc>
          <w:tcPr>
            <w:tcW w:w="5123" w:type="dxa"/>
            <w:noWrap/>
            <w:hideMark/>
          </w:tcPr>
          <w:p w:rsidR="00FE4AE1" w:rsidRPr="00FE4AE1" w:rsidRDefault="00FE4AE1" w:rsidP="00FE4AE1">
            <w:r w:rsidRPr="00FE4AE1">
              <w:t>Falla en instalación</w:t>
            </w:r>
          </w:p>
        </w:tc>
        <w:tc>
          <w:tcPr>
            <w:tcW w:w="1626" w:type="dxa"/>
            <w:noWrap/>
            <w:hideMark/>
          </w:tcPr>
          <w:p w:rsidR="00FE4AE1" w:rsidRPr="00FE4AE1" w:rsidRDefault="00FE4AE1" w:rsidP="00FE4AE1">
            <w:r w:rsidRPr="00FE4AE1">
              <w:t>291</w:t>
            </w:r>
          </w:p>
        </w:tc>
        <w:tc>
          <w:tcPr>
            <w:tcW w:w="2069" w:type="dxa"/>
            <w:noWrap/>
            <w:hideMark/>
          </w:tcPr>
          <w:p w:rsidR="00FE4AE1" w:rsidRPr="00FE4AE1" w:rsidRDefault="00FE4AE1" w:rsidP="00FE4AE1">
            <w:r w:rsidRPr="00FE4AE1">
              <w:t>31.84</w:t>
            </w:r>
          </w:p>
        </w:tc>
      </w:tr>
      <w:tr w:rsidR="00FE4AE1" w:rsidRPr="00FE4AE1" w:rsidTr="00FE4AE1">
        <w:trPr>
          <w:trHeight w:val="288"/>
        </w:trPr>
        <w:tc>
          <w:tcPr>
            <w:tcW w:w="5123" w:type="dxa"/>
            <w:noWrap/>
            <w:hideMark/>
          </w:tcPr>
          <w:p w:rsidR="00FE4AE1" w:rsidRPr="00FE4AE1" w:rsidRDefault="00FE4AE1" w:rsidP="00FE4AE1">
            <w:r w:rsidRPr="00FE4AE1">
              <w:t>Desconocida</w:t>
            </w:r>
          </w:p>
        </w:tc>
        <w:tc>
          <w:tcPr>
            <w:tcW w:w="1626" w:type="dxa"/>
            <w:noWrap/>
            <w:hideMark/>
          </w:tcPr>
          <w:p w:rsidR="00FE4AE1" w:rsidRPr="00FE4AE1" w:rsidRDefault="00FE4AE1" w:rsidP="00FE4AE1">
            <w:r w:rsidRPr="00FE4AE1">
              <w:t>190</w:t>
            </w:r>
          </w:p>
        </w:tc>
        <w:tc>
          <w:tcPr>
            <w:tcW w:w="2069" w:type="dxa"/>
            <w:noWrap/>
            <w:hideMark/>
          </w:tcPr>
          <w:p w:rsidR="00FE4AE1" w:rsidRPr="00FE4AE1" w:rsidRDefault="00FE4AE1" w:rsidP="00FE4AE1">
            <w:r w:rsidRPr="00FE4AE1">
              <w:t>20.78</w:t>
            </w:r>
          </w:p>
        </w:tc>
      </w:tr>
      <w:tr w:rsidR="00FE4AE1" w:rsidRPr="00FE4AE1" w:rsidTr="00FE4AE1">
        <w:trPr>
          <w:trHeight w:val="288"/>
        </w:trPr>
        <w:tc>
          <w:tcPr>
            <w:tcW w:w="5123" w:type="dxa"/>
            <w:noWrap/>
            <w:hideMark/>
          </w:tcPr>
          <w:p w:rsidR="00FE4AE1" w:rsidRPr="00FE4AE1" w:rsidRDefault="00FE4AE1" w:rsidP="00FE4AE1">
            <w:r w:rsidRPr="00FE4AE1">
              <w:t>Error humano</w:t>
            </w:r>
          </w:p>
        </w:tc>
        <w:tc>
          <w:tcPr>
            <w:tcW w:w="1626" w:type="dxa"/>
            <w:noWrap/>
            <w:hideMark/>
          </w:tcPr>
          <w:p w:rsidR="00FE4AE1" w:rsidRPr="00FE4AE1" w:rsidRDefault="00FE4AE1" w:rsidP="00FE4AE1">
            <w:r w:rsidRPr="00FE4AE1">
              <w:t>110</w:t>
            </w:r>
          </w:p>
        </w:tc>
        <w:tc>
          <w:tcPr>
            <w:tcW w:w="2069" w:type="dxa"/>
            <w:noWrap/>
            <w:hideMark/>
          </w:tcPr>
          <w:p w:rsidR="00FE4AE1" w:rsidRPr="00FE4AE1" w:rsidRDefault="00FE4AE1" w:rsidP="00FE4AE1">
            <w:r w:rsidRPr="00FE4AE1">
              <w:t>12.03</w:t>
            </w:r>
          </w:p>
        </w:tc>
      </w:tr>
      <w:tr w:rsidR="00FE4AE1" w:rsidRPr="00FE4AE1" w:rsidTr="00FE4AE1">
        <w:trPr>
          <w:trHeight w:val="288"/>
        </w:trPr>
        <w:tc>
          <w:tcPr>
            <w:tcW w:w="5123" w:type="dxa"/>
            <w:noWrap/>
            <w:hideMark/>
          </w:tcPr>
          <w:p w:rsidR="00FE4AE1" w:rsidRPr="00FE4AE1" w:rsidRDefault="00FE4AE1" w:rsidP="00FE4AE1">
            <w:r w:rsidRPr="00FE4AE1">
              <w:t>Falla en tanque portátil</w:t>
            </w:r>
          </w:p>
        </w:tc>
        <w:tc>
          <w:tcPr>
            <w:tcW w:w="1626" w:type="dxa"/>
            <w:noWrap/>
            <w:hideMark/>
          </w:tcPr>
          <w:p w:rsidR="00FE4AE1" w:rsidRPr="00FE4AE1" w:rsidRDefault="00FE4AE1" w:rsidP="00FE4AE1">
            <w:r w:rsidRPr="00FE4AE1">
              <w:t>118</w:t>
            </w:r>
          </w:p>
        </w:tc>
        <w:tc>
          <w:tcPr>
            <w:tcW w:w="2069" w:type="dxa"/>
            <w:noWrap/>
            <w:hideMark/>
          </w:tcPr>
          <w:p w:rsidR="00FE4AE1" w:rsidRPr="00FE4AE1" w:rsidRDefault="00FE4AE1" w:rsidP="00FE4AE1">
            <w:r w:rsidRPr="00FE4AE1">
              <w:t>12.92</w:t>
            </w:r>
          </w:p>
        </w:tc>
      </w:tr>
      <w:tr w:rsidR="00FE4AE1" w:rsidRPr="00FE4AE1" w:rsidTr="00FE4AE1">
        <w:trPr>
          <w:trHeight w:val="288"/>
        </w:trPr>
        <w:tc>
          <w:tcPr>
            <w:tcW w:w="5123" w:type="dxa"/>
            <w:noWrap/>
            <w:hideMark/>
          </w:tcPr>
          <w:p w:rsidR="00FE4AE1" w:rsidRPr="00FE4AE1" w:rsidRDefault="00FE4AE1" w:rsidP="00FE4AE1">
            <w:r w:rsidRPr="00FE4AE1">
              <w:t>Falla en tanque estacionario</w:t>
            </w:r>
          </w:p>
        </w:tc>
        <w:tc>
          <w:tcPr>
            <w:tcW w:w="1626" w:type="dxa"/>
            <w:noWrap/>
            <w:hideMark/>
          </w:tcPr>
          <w:p w:rsidR="00FE4AE1" w:rsidRPr="00FE4AE1" w:rsidRDefault="00FE4AE1" w:rsidP="00FE4AE1">
            <w:r w:rsidRPr="00FE4AE1">
              <w:t>52</w:t>
            </w:r>
          </w:p>
        </w:tc>
        <w:tc>
          <w:tcPr>
            <w:tcW w:w="2069" w:type="dxa"/>
            <w:noWrap/>
            <w:hideMark/>
          </w:tcPr>
          <w:p w:rsidR="00FE4AE1" w:rsidRPr="00FE4AE1" w:rsidRDefault="00FE4AE1" w:rsidP="00FE4AE1">
            <w:r w:rsidRPr="00FE4AE1">
              <w:t>5.69</w:t>
            </w:r>
          </w:p>
        </w:tc>
      </w:tr>
      <w:tr w:rsidR="00FE4AE1" w:rsidRPr="00FE4AE1" w:rsidTr="00FE4AE1">
        <w:trPr>
          <w:trHeight w:val="324"/>
        </w:trPr>
        <w:tc>
          <w:tcPr>
            <w:tcW w:w="5123" w:type="dxa"/>
            <w:noWrap/>
            <w:hideMark/>
          </w:tcPr>
          <w:p w:rsidR="00FE4AE1" w:rsidRPr="00FE4AE1" w:rsidRDefault="00FE4AE1" w:rsidP="00FE4AE1">
            <w:r w:rsidRPr="00FE4AE1">
              <w:t xml:space="preserve">Unidad de reparto </w:t>
            </w:r>
            <w:r w:rsidRPr="00FE4AE1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626" w:type="dxa"/>
            <w:noWrap/>
            <w:hideMark/>
          </w:tcPr>
          <w:p w:rsidR="00FE4AE1" w:rsidRPr="00FE4AE1" w:rsidRDefault="00FE4AE1" w:rsidP="00FE4AE1">
            <w:r w:rsidRPr="00FE4AE1">
              <w:t>53</w:t>
            </w:r>
          </w:p>
        </w:tc>
        <w:tc>
          <w:tcPr>
            <w:tcW w:w="2069" w:type="dxa"/>
            <w:noWrap/>
            <w:hideMark/>
          </w:tcPr>
          <w:p w:rsidR="00FE4AE1" w:rsidRPr="00FE4AE1" w:rsidRDefault="00FE4AE1" w:rsidP="00FE4AE1">
            <w:r w:rsidRPr="00FE4AE1">
              <w:t>5.79</w:t>
            </w:r>
          </w:p>
        </w:tc>
      </w:tr>
      <w:tr w:rsidR="00FE4AE1" w:rsidRPr="00FE4AE1" w:rsidTr="00FE4AE1">
        <w:trPr>
          <w:trHeight w:val="288"/>
        </w:trPr>
        <w:tc>
          <w:tcPr>
            <w:tcW w:w="5123" w:type="dxa"/>
            <w:noWrap/>
            <w:hideMark/>
          </w:tcPr>
          <w:p w:rsidR="00FE4AE1" w:rsidRPr="00FE4AE1" w:rsidRDefault="00FE4AE1" w:rsidP="00FE4AE1">
            <w:r w:rsidRPr="00FE4AE1">
              <w:t>Otro</w:t>
            </w:r>
          </w:p>
        </w:tc>
        <w:tc>
          <w:tcPr>
            <w:tcW w:w="1626" w:type="dxa"/>
            <w:noWrap/>
            <w:hideMark/>
          </w:tcPr>
          <w:p w:rsidR="00FE4AE1" w:rsidRPr="00FE4AE1" w:rsidRDefault="00FE4AE1" w:rsidP="00FE4AE1">
            <w:r w:rsidRPr="00FE4AE1">
              <w:t>100</w:t>
            </w:r>
          </w:p>
        </w:tc>
        <w:tc>
          <w:tcPr>
            <w:tcW w:w="2069" w:type="dxa"/>
            <w:noWrap/>
            <w:hideMark/>
          </w:tcPr>
          <w:p w:rsidR="00FE4AE1" w:rsidRPr="00FE4AE1" w:rsidRDefault="00FE4AE1" w:rsidP="00FE4AE1">
            <w:r w:rsidRPr="00FE4AE1">
              <w:t>10.95</w:t>
            </w:r>
          </w:p>
        </w:tc>
      </w:tr>
      <w:tr w:rsidR="00FE4AE1" w:rsidRPr="00FE4AE1" w:rsidTr="00FE4AE1">
        <w:trPr>
          <w:trHeight w:val="288"/>
        </w:trPr>
        <w:tc>
          <w:tcPr>
            <w:tcW w:w="5123" w:type="dxa"/>
            <w:noWrap/>
            <w:hideMark/>
          </w:tcPr>
          <w:p w:rsidR="00FE4AE1" w:rsidRPr="00FE4AE1" w:rsidRDefault="00FE4AE1" w:rsidP="00FE4AE1">
            <w:r w:rsidRPr="00FE4AE1">
              <w:t>Total</w:t>
            </w:r>
          </w:p>
        </w:tc>
        <w:tc>
          <w:tcPr>
            <w:tcW w:w="1626" w:type="dxa"/>
            <w:noWrap/>
            <w:hideMark/>
          </w:tcPr>
          <w:p w:rsidR="00FE4AE1" w:rsidRPr="00FE4AE1" w:rsidRDefault="00FE4AE1" w:rsidP="00FE4AE1">
            <w:r w:rsidRPr="00FE4AE1">
              <w:t>914</w:t>
            </w:r>
          </w:p>
        </w:tc>
        <w:tc>
          <w:tcPr>
            <w:tcW w:w="2069" w:type="dxa"/>
            <w:noWrap/>
            <w:hideMark/>
          </w:tcPr>
          <w:p w:rsidR="00FE4AE1" w:rsidRPr="00FE4AE1" w:rsidRDefault="00FE4AE1" w:rsidP="00FE4AE1">
            <w:r w:rsidRPr="00FE4AE1">
              <w:t>100</w:t>
            </w:r>
          </w:p>
        </w:tc>
      </w:tr>
    </w:tbl>
    <w:p w:rsidR="00FE4AE1" w:rsidRDefault="00827EB9" w:rsidP="00FE4AE1">
      <w:pPr>
        <w:spacing w:after="0" w:line="240" w:lineRule="auto"/>
      </w:pPr>
      <w:r w:rsidRPr="00827EB9">
        <w:rPr>
          <w:b/>
          <w:vertAlign w:val="superscript"/>
        </w:rPr>
        <w:t>1</w:t>
      </w:r>
      <w:r w:rsidRPr="00827EB9">
        <w:t xml:space="preserve"> Incluye accidentes durante el suministro a tanque estacionario y en reparto de tanques portátiles</w:t>
      </w:r>
    </w:p>
    <w:p w:rsidR="00FE4AE1" w:rsidRDefault="00FE4AE1" w:rsidP="00FE4AE1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8"/>
        <w:gridCol w:w="1630"/>
        <w:gridCol w:w="1968"/>
      </w:tblGrid>
      <w:tr w:rsidR="00FE4AE1" w:rsidRPr="00FE4AE1" w:rsidTr="00FE4AE1">
        <w:trPr>
          <w:trHeight w:val="288"/>
        </w:trPr>
        <w:tc>
          <w:tcPr>
            <w:tcW w:w="5336" w:type="dxa"/>
            <w:gridSpan w:val="3"/>
            <w:noWrap/>
            <w:hideMark/>
          </w:tcPr>
          <w:p w:rsidR="00FE4AE1" w:rsidRPr="00FE4AE1" w:rsidRDefault="00FE4AE1" w:rsidP="00FE4AE1">
            <w:pPr>
              <w:jc w:val="center"/>
              <w:rPr>
                <w:b/>
                <w:bCs/>
              </w:rPr>
            </w:pPr>
            <w:r w:rsidRPr="00FE4AE1">
              <w:rPr>
                <w:b/>
                <w:bCs/>
              </w:rPr>
              <w:t>Tipo de evento en accidentes industriales y urbanos</w:t>
            </w:r>
            <w:r>
              <w:rPr>
                <w:b/>
                <w:bCs/>
              </w:rPr>
              <w:t xml:space="preserve"> con gas LP</w:t>
            </w:r>
          </w:p>
        </w:tc>
      </w:tr>
      <w:tr w:rsidR="00FE4AE1" w:rsidRPr="00FE4AE1" w:rsidTr="00FE4AE1">
        <w:trPr>
          <w:trHeight w:val="288"/>
        </w:trPr>
        <w:tc>
          <w:tcPr>
            <w:tcW w:w="1738" w:type="dxa"/>
            <w:noWrap/>
            <w:hideMark/>
          </w:tcPr>
          <w:p w:rsidR="00FE4AE1" w:rsidRPr="00FE4AE1" w:rsidRDefault="00FE4AE1" w:rsidP="00FE4AE1"/>
        </w:tc>
        <w:tc>
          <w:tcPr>
            <w:tcW w:w="1630" w:type="dxa"/>
            <w:noWrap/>
            <w:hideMark/>
          </w:tcPr>
          <w:p w:rsidR="00FE4AE1" w:rsidRPr="00FE4AE1" w:rsidRDefault="00FE4AE1" w:rsidP="00FE4AE1">
            <w:r w:rsidRPr="00FE4AE1">
              <w:t>Cantidad</w:t>
            </w:r>
          </w:p>
        </w:tc>
        <w:tc>
          <w:tcPr>
            <w:tcW w:w="1968" w:type="dxa"/>
            <w:noWrap/>
            <w:hideMark/>
          </w:tcPr>
          <w:p w:rsidR="00FE4AE1" w:rsidRPr="00FE4AE1" w:rsidRDefault="00FE4AE1" w:rsidP="00FE4AE1">
            <w:r w:rsidRPr="00FE4AE1">
              <w:t>Porcentaje</w:t>
            </w:r>
          </w:p>
        </w:tc>
      </w:tr>
      <w:tr w:rsidR="00FE4AE1" w:rsidRPr="00FE4AE1" w:rsidTr="00FE4AE1">
        <w:trPr>
          <w:trHeight w:val="288"/>
        </w:trPr>
        <w:tc>
          <w:tcPr>
            <w:tcW w:w="1738" w:type="dxa"/>
            <w:noWrap/>
            <w:hideMark/>
          </w:tcPr>
          <w:p w:rsidR="00FE4AE1" w:rsidRPr="00FE4AE1" w:rsidRDefault="00FE4AE1" w:rsidP="00FE4AE1">
            <w:r w:rsidRPr="00FE4AE1">
              <w:t>Fuga</w:t>
            </w:r>
          </w:p>
        </w:tc>
        <w:tc>
          <w:tcPr>
            <w:tcW w:w="1630" w:type="dxa"/>
            <w:noWrap/>
            <w:hideMark/>
          </w:tcPr>
          <w:p w:rsidR="00FE4AE1" w:rsidRPr="00FE4AE1" w:rsidRDefault="00FE4AE1" w:rsidP="00FE4AE1">
            <w:r w:rsidRPr="00FE4AE1">
              <w:t>334</w:t>
            </w:r>
          </w:p>
        </w:tc>
        <w:tc>
          <w:tcPr>
            <w:tcW w:w="1968" w:type="dxa"/>
            <w:noWrap/>
            <w:hideMark/>
          </w:tcPr>
          <w:p w:rsidR="00FE4AE1" w:rsidRPr="00FE4AE1" w:rsidRDefault="00FE4AE1" w:rsidP="00FE4AE1">
            <w:r w:rsidRPr="00FE4AE1">
              <w:t>33.98</w:t>
            </w:r>
          </w:p>
        </w:tc>
      </w:tr>
      <w:tr w:rsidR="00FE4AE1" w:rsidRPr="00FE4AE1" w:rsidTr="00FE4AE1">
        <w:trPr>
          <w:trHeight w:val="288"/>
        </w:trPr>
        <w:tc>
          <w:tcPr>
            <w:tcW w:w="1738" w:type="dxa"/>
            <w:noWrap/>
            <w:hideMark/>
          </w:tcPr>
          <w:p w:rsidR="00FE4AE1" w:rsidRPr="00FE4AE1" w:rsidRDefault="00FE4AE1" w:rsidP="00FE4AE1">
            <w:r w:rsidRPr="00FE4AE1">
              <w:t>Explosión</w:t>
            </w:r>
            <w:r w:rsidR="008F0FCD">
              <w:t xml:space="preserve"> </w:t>
            </w:r>
            <w:r w:rsidR="008F0FCD" w:rsidRPr="008F0FCD">
              <w:rPr>
                <w:b/>
                <w:vertAlign w:val="superscript"/>
              </w:rPr>
              <w:t>1</w:t>
            </w:r>
          </w:p>
        </w:tc>
        <w:tc>
          <w:tcPr>
            <w:tcW w:w="1630" w:type="dxa"/>
            <w:noWrap/>
            <w:hideMark/>
          </w:tcPr>
          <w:p w:rsidR="00FE4AE1" w:rsidRPr="00FE4AE1" w:rsidRDefault="00FE4AE1" w:rsidP="00FE4AE1">
            <w:r w:rsidRPr="00FE4AE1">
              <w:t>391</w:t>
            </w:r>
          </w:p>
        </w:tc>
        <w:tc>
          <w:tcPr>
            <w:tcW w:w="1968" w:type="dxa"/>
            <w:noWrap/>
            <w:hideMark/>
          </w:tcPr>
          <w:p w:rsidR="00FE4AE1" w:rsidRPr="00FE4AE1" w:rsidRDefault="00FE4AE1" w:rsidP="00FE4AE1">
            <w:r w:rsidRPr="00FE4AE1">
              <w:t>39.78</w:t>
            </w:r>
          </w:p>
        </w:tc>
      </w:tr>
      <w:tr w:rsidR="00FE4AE1" w:rsidRPr="00FE4AE1" w:rsidTr="00FE4AE1">
        <w:trPr>
          <w:trHeight w:val="288"/>
        </w:trPr>
        <w:tc>
          <w:tcPr>
            <w:tcW w:w="1738" w:type="dxa"/>
            <w:noWrap/>
            <w:hideMark/>
          </w:tcPr>
          <w:p w:rsidR="00FE4AE1" w:rsidRPr="00FE4AE1" w:rsidRDefault="00FE4AE1" w:rsidP="00FE4AE1">
            <w:r w:rsidRPr="00FE4AE1">
              <w:t>Incendio</w:t>
            </w:r>
          </w:p>
        </w:tc>
        <w:tc>
          <w:tcPr>
            <w:tcW w:w="1630" w:type="dxa"/>
            <w:noWrap/>
            <w:hideMark/>
          </w:tcPr>
          <w:p w:rsidR="00FE4AE1" w:rsidRPr="00FE4AE1" w:rsidRDefault="00FE4AE1" w:rsidP="00FE4AE1">
            <w:r w:rsidRPr="00FE4AE1">
              <w:t>258</w:t>
            </w:r>
          </w:p>
        </w:tc>
        <w:tc>
          <w:tcPr>
            <w:tcW w:w="1968" w:type="dxa"/>
            <w:noWrap/>
            <w:hideMark/>
          </w:tcPr>
          <w:p w:rsidR="00FE4AE1" w:rsidRPr="00FE4AE1" w:rsidRDefault="00FE4AE1" w:rsidP="00FE4AE1">
            <w:r w:rsidRPr="00FE4AE1">
              <w:t>26.24</w:t>
            </w:r>
          </w:p>
        </w:tc>
      </w:tr>
      <w:tr w:rsidR="00FE4AE1" w:rsidRPr="00FE4AE1" w:rsidTr="00FE4AE1">
        <w:trPr>
          <w:trHeight w:val="288"/>
        </w:trPr>
        <w:tc>
          <w:tcPr>
            <w:tcW w:w="1738" w:type="dxa"/>
            <w:noWrap/>
            <w:hideMark/>
          </w:tcPr>
          <w:p w:rsidR="00FE4AE1" w:rsidRPr="00FE4AE1" w:rsidRDefault="00FE4AE1" w:rsidP="00FE4AE1">
            <w:r w:rsidRPr="00FE4AE1">
              <w:t>Total</w:t>
            </w:r>
          </w:p>
        </w:tc>
        <w:tc>
          <w:tcPr>
            <w:tcW w:w="1630" w:type="dxa"/>
            <w:noWrap/>
            <w:hideMark/>
          </w:tcPr>
          <w:p w:rsidR="00FE4AE1" w:rsidRPr="00FE4AE1" w:rsidRDefault="00FE4AE1" w:rsidP="00FE4AE1">
            <w:r w:rsidRPr="00FE4AE1">
              <w:t>983</w:t>
            </w:r>
          </w:p>
        </w:tc>
        <w:tc>
          <w:tcPr>
            <w:tcW w:w="1968" w:type="dxa"/>
            <w:noWrap/>
            <w:hideMark/>
          </w:tcPr>
          <w:p w:rsidR="00FE4AE1" w:rsidRPr="00FE4AE1" w:rsidRDefault="00FE4AE1" w:rsidP="00FE4AE1">
            <w:r w:rsidRPr="00FE4AE1">
              <w:t>100</w:t>
            </w:r>
          </w:p>
        </w:tc>
      </w:tr>
    </w:tbl>
    <w:p w:rsidR="00FE4AE1" w:rsidRDefault="008F0FCD" w:rsidP="00FE4AE1">
      <w:pPr>
        <w:spacing w:after="0" w:line="240" w:lineRule="auto"/>
      </w:pPr>
      <w:r w:rsidRPr="008F0FCD">
        <w:rPr>
          <w:b/>
          <w:vertAlign w:val="superscript"/>
        </w:rPr>
        <w:t>1</w:t>
      </w:r>
      <w:r>
        <w:t xml:space="preserve"> Incluye accidentes: </w:t>
      </w:r>
      <w:r w:rsidR="00114A35">
        <w:t>Explosión</w:t>
      </w:r>
      <w:r w:rsidR="00114A35">
        <w:t xml:space="preserve">, </w:t>
      </w:r>
      <w:r>
        <w:t xml:space="preserve">Incendio y </w:t>
      </w:r>
      <w:r w:rsidR="00114A35">
        <w:t>explosión, Explosión e incendio</w:t>
      </w:r>
      <w:bookmarkStart w:id="0" w:name="_GoBack"/>
      <w:bookmarkEnd w:id="0"/>
      <w:r>
        <w:t xml:space="preserve"> </w:t>
      </w:r>
    </w:p>
    <w:p w:rsidR="00FE4AE1" w:rsidRDefault="00FE4AE1" w:rsidP="00FE4AE1">
      <w:pPr>
        <w:spacing w:after="0" w:line="240" w:lineRule="auto"/>
      </w:pPr>
    </w:p>
    <w:p w:rsidR="00FE4AE1" w:rsidRDefault="00FE4AE1" w:rsidP="00FE4AE1">
      <w:pPr>
        <w:spacing w:after="0" w:line="240" w:lineRule="auto"/>
      </w:pPr>
    </w:p>
    <w:p w:rsidR="00FE4AE1" w:rsidRDefault="00FE4AE1" w:rsidP="00FE4AE1">
      <w:pPr>
        <w:spacing w:after="0" w:line="240" w:lineRule="auto"/>
      </w:pPr>
    </w:p>
    <w:p w:rsidR="00FE4AE1" w:rsidRDefault="00FE4AE1" w:rsidP="00FE4AE1">
      <w:pPr>
        <w:spacing w:after="0" w:line="240" w:lineRule="auto"/>
      </w:pPr>
    </w:p>
    <w:sectPr w:rsidR="00FE4A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E1"/>
    <w:rsid w:val="00114A35"/>
    <w:rsid w:val="00827EB9"/>
    <w:rsid w:val="008F0FCD"/>
    <w:rsid w:val="00CF50AF"/>
    <w:rsid w:val="00D00613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5</cp:revision>
  <dcterms:created xsi:type="dcterms:W3CDTF">2021-05-13T00:22:00Z</dcterms:created>
  <dcterms:modified xsi:type="dcterms:W3CDTF">2021-05-18T23:32:00Z</dcterms:modified>
</cp:coreProperties>
</file>