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04"/>
        </w:tabs>
        <w:spacing w:befor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Ciudad de México, a 08 de abril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Integración de información para el Sistema Nacional de Alertas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 1. Recepción de la información sobre fenómenos naturales de los sistemas de monitoreo y de alerta que operan en el país a través del Laboratorio de Monitoreo de Fenómenos Naturales.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8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 Documental:</w:t>
      </w:r>
    </w:p>
    <w:p w:rsidR="00000000" w:rsidDel="00000000" w:rsidP="00000000" w:rsidRDefault="00000000" w:rsidRPr="00000000" w14:paraId="00000005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información soporte del indicador de esta actividad reside en medios digitales.                                         </w:t>
      </w:r>
    </w:p>
    <w:p w:rsidR="00000000" w:rsidDel="00000000" w:rsidP="00000000" w:rsidRDefault="00000000" w:rsidRPr="00000000" w14:paraId="00000006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BITÁCORAS DIGITALES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Recepción de señales e información</w:t>
      </w:r>
    </w:p>
    <w:p w:rsidR="00000000" w:rsidDel="00000000" w:rsidP="00000000" w:rsidRDefault="00000000" w:rsidRPr="00000000" w14:paraId="00000009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0A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 \Bitácora_de_Recepción_SNA_2021.xlsx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Reporte de Eventos Sísmicos</w:t>
      </w:r>
    </w:p>
    <w:p w:rsidR="00000000" w:rsidDel="00000000" w:rsidP="00000000" w:rsidRDefault="00000000" w:rsidRPr="00000000" w14:paraId="0000000C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0D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 \B-LMFN-9_Bitácora de Reporte de Eventos Sísmicos_2021.xlsx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Corte informativo de fenómenos naturales por guardia</w:t>
      </w:r>
    </w:p>
    <w:p w:rsidR="00000000" w:rsidDel="00000000" w:rsidP="00000000" w:rsidRDefault="00000000" w:rsidRPr="00000000" w14:paraId="0000000F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10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D:\00-Bitacoras_LMFN\Cortes_informativos_2021\</w:t>
      </w:r>
    </w:p>
    <w:p w:rsidR="00000000" w:rsidDel="00000000" w:rsidP="00000000" w:rsidRDefault="00000000" w:rsidRPr="00000000" w14:paraId="00000011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Actividad 2. Diseño del sistema de comunicación a través de telefonía celular para el Sistema Nacional de Alertas (Infraestructura Base).</w:t>
      </w:r>
    </w:p>
    <w:p w:rsidR="00000000" w:rsidDel="00000000" w:rsidP="00000000" w:rsidRDefault="00000000" w:rsidRPr="00000000" w14:paraId="00000014">
      <w:pPr>
        <w:spacing w:after="240" w:before="24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Soporte Documental:</w:t>
      </w:r>
    </w:p>
    <w:p w:rsidR="00000000" w:rsidDel="00000000" w:rsidP="00000000" w:rsidRDefault="00000000" w:rsidRPr="00000000" w14:paraId="00000015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información soporte del indicador de esta actividad reside en medios digitales.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Computadora MX03900 IP: 10.2.231.12 CARPETA D:\OneDrive\PAT_CBS/2021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Actividad 3. Aplicación del Protocolo de Alerta Común entre dependencias encargadas del monitoreo de fenómenos naturales con el objetivo de homologar mensajes de aviso.  </w:t>
      </w:r>
    </w:p>
    <w:p w:rsidR="00000000" w:rsidDel="00000000" w:rsidP="00000000" w:rsidRDefault="00000000" w:rsidRPr="00000000" w14:paraId="00000019">
      <w:pPr>
        <w:spacing w:after="240" w:before="24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Soporte Documental:</w:t>
      </w:r>
    </w:p>
    <w:p w:rsidR="00000000" w:rsidDel="00000000" w:rsidP="00000000" w:rsidRDefault="00000000" w:rsidRPr="00000000" w14:paraId="0000001A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información soporte del indicador de esta actividad reside en medios digitales.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Computadora MX03900 IP: 10.2.231.12 CARPETA D:\OneDrive\PAT_CAP/2021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bookmarkStart w:colFirst="0" w:colLast="0" w:name="_heading=h.yo3e2n1evdpe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2507" w:left="1134" w:right="1134" w:header="709" w:footer="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101600</wp:posOffset>
              </wp:positionV>
              <wp:extent cx="6067425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2288" y="378000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38E5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101600</wp:posOffset>
              </wp:positionV>
              <wp:extent cx="6067425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Av. Delfín Madrigal No. 665, Col. Pedregal de Santo Domingo, Alcaldía Coyoacán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1"/>
        <w:i w:val="0"/>
        <w:smallCaps w:val="0"/>
        <w:strike w:val="0"/>
        <w:color w:val="b38e5d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Ciudad de México, C.P. 04360, Tel. 52+(55) 5424 6100, </w:t>
    </w:r>
    <w:hyperlink r:id="rId2"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38e5d"/>
          <w:sz w:val="16"/>
          <w:szCs w:val="16"/>
          <w:u w:val="single"/>
          <w:shd w:fill="auto" w:val="clear"/>
          <w:vertAlign w:val="baseline"/>
          <w:rtl w:val="0"/>
        </w:rPr>
        <w:t xml:space="preserve">www.gob.mx/cenapred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1"/>
        <w:i w:val="0"/>
        <w:smallCaps w:val="0"/>
        <w:strike w:val="0"/>
        <w:color w:val="b38e5d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-284" w:firstLine="0"/>
      <w:jc w:val="center"/>
      <w:rPr>
        <w:rFonts w:ascii="Montserrat" w:cs="Montserrat" w:eastAsia="Montserrat" w:hAnsi="Montserrat"/>
        <w:i w:val="1"/>
        <w:color w:val="b38e5d"/>
        <w:sz w:val="13"/>
        <w:szCs w:val="13"/>
      </w:rPr>
    </w:pPr>
    <w:r w:rsidDel="00000000" w:rsidR="00000000" w:rsidRPr="00000000">
      <w:rPr>
        <w:rFonts w:ascii="Montserrat" w:cs="Montserrat" w:eastAsia="Montserrat" w:hAnsi="Montserrat"/>
        <w:i w:val="1"/>
        <w:color w:val="b38e5d"/>
        <w:sz w:val="13"/>
        <w:szCs w:val="13"/>
        <w:rtl w:val="0"/>
      </w:rPr>
      <w:t xml:space="preserve">Los avisos de privacidad  están disponibles para consulta en </w:t>
    </w:r>
    <w:hyperlink r:id="rId3">
      <w:r w:rsidDel="00000000" w:rsidR="00000000" w:rsidRPr="00000000">
        <w:rPr>
          <w:rFonts w:ascii="Montserrat" w:cs="Montserrat" w:eastAsia="Montserrat" w:hAnsi="Montserrat"/>
          <w:i w:val="1"/>
          <w:color w:val="b38e5d"/>
          <w:sz w:val="13"/>
          <w:szCs w:val="13"/>
          <w:rtl w:val="0"/>
        </w:rPr>
        <w:t xml:space="preserve">https://www.gob.mx/cenapred/es/documentos/avisos-de-privacidad-del-cenapred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1829839</wp:posOffset>
          </wp:positionH>
          <wp:positionV relativeFrom="paragraph">
            <wp:posOffset>-3174</wp:posOffset>
          </wp:positionV>
          <wp:extent cx="2410691" cy="124503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2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D4B9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 w:val="1"/>
    <w:rsid w:val="008D4B9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786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7861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after="120" w:before="120"/>
      <w:jc w:val="both"/>
    </w:pPr>
    <w:rPr>
      <w:rFonts w:ascii="Helvetica-Normal" w:cs="Times New Roman" w:eastAsia="Times New Roman" w:hAnsi="Helvetica-Normal"/>
      <w:sz w:val="18"/>
      <w:szCs w:val="18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FC4EC5"/>
    <w:rPr>
      <w:rFonts w:ascii="Helvetica-Normal" w:cs="Times New Roman" w:eastAsia="Times New Roman" w:hAnsi="Helvetica-Normal"/>
      <w:sz w:val="18"/>
      <w:szCs w:val="18"/>
      <w:lang w:eastAsia="es-ES" w:val="es-E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 w:val="1"/>
    <w:rsid w:val="008567E7"/>
    <w:pPr>
      <w:ind w:left="720"/>
      <w:contextualSpacing w:val="1"/>
    </w:pPr>
    <w:rPr>
      <w:rFonts w:ascii="Times New Roman" w:cs="Times New Roman" w:eastAsia="Times New Roman" w:hAnsi="Times New Roman"/>
      <w:lang w:eastAsia="es-ES" w:val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gob.mx/cenapred" TargetMode="External"/><Relationship Id="rId3" Type="http://schemas.openxmlformats.org/officeDocument/2006/relationships/hyperlink" Target="https://www.gob.mx/cenapred/es/documentos/avisos-de-privacidad-del-cenapre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1g0RfXNTFIcOsWlM6ifHHOybbA==">AMUW2mUn4mEu+3v1H05K1pSUMW9JMp/OCvQ9TUnPowWADCrgQfxjKpvUb/VEJ93kQ8SkkNGzJiBfh7QSmeyMuaOvt3XN2nAlsEXXcn8XKPmosnCsGZCw9zoGA6qxPR3j02UueSzw6sHL0aiSLNotcLP3m7GJ3Yg+NQ==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2021-04-08T20:01:00Z</dcterms:created>
  <dc:creator>Microsoft Office User</dc:creator>
</cp:coreProperties>
</file>