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60948" w14:textId="77777777" w:rsidR="008B796A" w:rsidRPr="00DE27DC" w:rsidRDefault="00E128BC" w:rsidP="00E128BC">
      <w:pPr>
        <w:jc w:val="center"/>
        <w:rPr>
          <w:rFonts w:ascii="Montserrat" w:hAnsi="Montserrat"/>
          <w:b/>
          <w:sz w:val="24"/>
          <w:szCs w:val="24"/>
        </w:rPr>
      </w:pPr>
      <w:r w:rsidRPr="00DE27DC">
        <w:rPr>
          <w:rFonts w:ascii="Montserrat" w:hAnsi="Montserrat"/>
          <w:b/>
          <w:sz w:val="24"/>
          <w:szCs w:val="24"/>
        </w:rPr>
        <w:t>Recomendaciones emitidas por el Comité Científico Asesor sobre Fenómenos Perturbadores de Carácter Químico</w:t>
      </w:r>
    </w:p>
    <w:tbl>
      <w:tblPr>
        <w:tblStyle w:val="Tablaconcuadrcula"/>
        <w:tblW w:w="13560" w:type="dxa"/>
        <w:tblLook w:val="04A0" w:firstRow="1" w:lastRow="0" w:firstColumn="1" w:lastColumn="0" w:noHBand="0" w:noVBand="1"/>
      </w:tblPr>
      <w:tblGrid>
        <w:gridCol w:w="818"/>
        <w:gridCol w:w="2117"/>
        <w:gridCol w:w="2416"/>
        <w:gridCol w:w="2174"/>
        <w:gridCol w:w="4404"/>
        <w:gridCol w:w="1631"/>
      </w:tblGrid>
      <w:tr w:rsidR="000279EC" w:rsidRPr="00B93729" w14:paraId="0DC40F9A" w14:textId="77777777" w:rsidTr="00B93729">
        <w:trPr>
          <w:trHeight w:val="315"/>
        </w:trPr>
        <w:tc>
          <w:tcPr>
            <w:tcW w:w="818" w:type="dxa"/>
            <w:hideMark/>
          </w:tcPr>
          <w:p w14:paraId="038ED4D8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117" w:type="dxa"/>
            <w:hideMark/>
          </w:tcPr>
          <w:p w14:paraId="1988131A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  <w:t>CLAVE</w:t>
            </w:r>
          </w:p>
        </w:tc>
        <w:tc>
          <w:tcPr>
            <w:tcW w:w="2416" w:type="dxa"/>
            <w:hideMark/>
          </w:tcPr>
          <w:p w14:paraId="14517B81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2174" w:type="dxa"/>
            <w:hideMark/>
          </w:tcPr>
          <w:p w14:paraId="14FBBA0A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  <w:t>FECHA DE EMISIÓN</w:t>
            </w:r>
          </w:p>
        </w:tc>
        <w:tc>
          <w:tcPr>
            <w:tcW w:w="4404" w:type="dxa"/>
            <w:hideMark/>
          </w:tcPr>
          <w:p w14:paraId="181CD1A0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1631" w:type="dxa"/>
            <w:hideMark/>
          </w:tcPr>
          <w:p w14:paraId="24A29F40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  <w:t>STATUS</w:t>
            </w:r>
          </w:p>
        </w:tc>
      </w:tr>
      <w:tr w:rsidR="003801ED" w:rsidRPr="00B93729" w14:paraId="76C996BD" w14:textId="77777777" w:rsidTr="00B93729">
        <w:trPr>
          <w:trHeight w:val="1545"/>
        </w:trPr>
        <w:tc>
          <w:tcPr>
            <w:tcW w:w="818" w:type="dxa"/>
            <w:hideMark/>
          </w:tcPr>
          <w:p w14:paraId="35974703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17" w:type="dxa"/>
            <w:hideMark/>
          </w:tcPr>
          <w:p w14:paraId="078BFD2F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FPOQ/01/97</w:t>
            </w:r>
          </w:p>
        </w:tc>
        <w:tc>
          <w:tcPr>
            <w:tcW w:w="2416" w:type="dxa"/>
            <w:hideMark/>
          </w:tcPr>
          <w:p w14:paraId="207CA54E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Seguridad de procesos y autotransporte de materiales peligrosos.</w:t>
            </w:r>
          </w:p>
        </w:tc>
        <w:tc>
          <w:tcPr>
            <w:tcW w:w="2174" w:type="dxa"/>
            <w:hideMark/>
          </w:tcPr>
          <w:p w14:paraId="68DE61C6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28 de enero de 1997</w:t>
            </w:r>
          </w:p>
        </w:tc>
        <w:tc>
          <w:tcPr>
            <w:tcW w:w="4404" w:type="dxa"/>
            <w:hideMark/>
          </w:tcPr>
          <w:p w14:paraId="3659CADD" w14:textId="77777777" w:rsidR="008E4ACB" w:rsidRPr="00B93729" w:rsidRDefault="00E4190F" w:rsidP="004C2272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Esta recomendación no procede ya que se plantean varias recomendaciones que se retoman posteriormente. Estas son: FPOQ/04/98, FPOQ/05/98, FPOQ/08/99, FPOQ/025/2013 y FPOQ/032/2013.</w:t>
            </w:r>
          </w:p>
        </w:tc>
        <w:tc>
          <w:tcPr>
            <w:tcW w:w="1631" w:type="dxa"/>
            <w:hideMark/>
          </w:tcPr>
          <w:p w14:paraId="2DC84346" w14:textId="77777777" w:rsidR="008E4ACB" w:rsidRPr="00B93729" w:rsidRDefault="00E4190F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No procede</w:t>
            </w:r>
          </w:p>
        </w:tc>
      </w:tr>
      <w:tr w:rsidR="000279EC" w:rsidRPr="00B93729" w14:paraId="7388C136" w14:textId="77777777" w:rsidTr="00B93729">
        <w:trPr>
          <w:trHeight w:val="1963"/>
        </w:trPr>
        <w:tc>
          <w:tcPr>
            <w:tcW w:w="818" w:type="dxa"/>
            <w:hideMark/>
          </w:tcPr>
          <w:p w14:paraId="2EA8C759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117" w:type="dxa"/>
            <w:hideMark/>
          </w:tcPr>
          <w:p w14:paraId="1BF47062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FPOQ/02/98</w:t>
            </w:r>
          </w:p>
        </w:tc>
        <w:tc>
          <w:tcPr>
            <w:tcW w:w="2416" w:type="dxa"/>
            <w:hideMark/>
          </w:tcPr>
          <w:p w14:paraId="0B882B48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Incendios forestales.</w:t>
            </w:r>
          </w:p>
        </w:tc>
        <w:tc>
          <w:tcPr>
            <w:tcW w:w="2174" w:type="dxa"/>
            <w:hideMark/>
          </w:tcPr>
          <w:p w14:paraId="01F12E2B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17 de marzo de 1998</w:t>
            </w:r>
          </w:p>
        </w:tc>
        <w:tc>
          <w:tcPr>
            <w:tcW w:w="4404" w:type="dxa"/>
            <w:hideMark/>
          </w:tcPr>
          <w:p w14:paraId="1C84E643" w14:textId="77777777" w:rsidR="008E4ACB" w:rsidRPr="00B93729" w:rsidRDefault="004C2272" w:rsidP="004C2272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La recomendación quedó atendida mediante la creación de la Comisión Nacional Forestal (CONAFOR), perteneciente a la Secretaría del Medio Ambiente y Recursos Naturales.</w:t>
            </w:r>
          </w:p>
        </w:tc>
        <w:tc>
          <w:tcPr>
            <w:tcW w:w="1631" w:type="dxa"/>
            <w:hideMark/>
          </w:tcPr>
          <w:p w14:paraId="31826C7D" w14:textId="4AFDAE65" w:rsidR="008E4ACB" w:rsidRPr="00B93729" w:rsidRDefault="004C2272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Atendida</w:t>
            </w:r>
          </w:p>
        </w:tc>
      </w:tr>
      <w:tr w:rsidR="000279EC" w:rsidRPr="00B93729" w14:paraId="2DA18A1D" w14:textId="77777777" w:rsidTr="00B93729">
        <w:trPr>
          <w:trHeight w:val="1408"/>
        </w:trPr>
        <w:tc>
          <w:tcPr>
            <w:tcW w:w="818" w:type="dxa"/>
            <w:hideMark/>
          </w:tcPr>
          <w:p w14:paraId="60693199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117" w:type="dxa"/>
            <w:hideMark/>
          </w:tcPr>
          <w:p w14:paraId="3EA09386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FPOQ/03/98</w:t>
            </w:r>
          </w:p>
        </w:tc>
        <w:tc>
          <w:tcPr>
            <w:tcW w:w="2416" w:type="dxa"/>
            <w:hideMark/>
          </w:tcPr>
          <w:p w14:paraId="31484676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Sistema de Comando.</w:t>
            </w:r>
          </w:p>
        </w:tc>
        <w:tc>
          <w:tcPr>
            <w:tcW w:w="2174" w:type="dxa"/>
            <w:hideMark/>
          </w:tcPr>
          <w:p w14:paraId="3CC3DAFC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17 de marzo de 1998</w:t>
            </w:r>
          </w:p>
        </w:tc>
        <w:tc>
          <w:tcPr>
            <w:tcW w:w="4404" w:type="dxa"/>
            <w:hideMark/>
          </w:tcPr>
          <w:p w14:paraId="40B4BF47" w14:textId="77777777" w:rsidR="008E4ACB" w:rsidRPr="00B93729" w:rsidRDefault="000279EC" w:rsidP="004C2272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Esta recomendación será atendida por la Dirección General de Vinculación, Innovación y Normatividad en Materia de Protección Civil, con la Norma Oficial Mexicana sobre Sistema de Comando de Incidentes.</w:t>
            </w:r>
          </w:p>
        </w:tc>
        <w:tc>
          <w:tcPr>
            <w:tcW w:w="1631" w:type="dxa"/>
            <w:hideMark/>
          </w:tcPr>
          <w:p w14:paraId="711AD670" w14:textId="5DF8E80D" w:rsidR="008E4ACB" w:rsidRPr="00B93729" w:rsidRDefault="001C47F5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794D12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Atendida</w:t>
            </w:r>
          </w:p>
        </w:tc>
      </w:tr>
      <w:tr w:rsidR="000279EC" w:rsidRPr="00B93729" w14:paraId="789C261C" w14:textId="77777777" w:rsidTr="00B93729">
        <w:trPr>
          <w:trHeight w:val="1635"/>
        </w:trPr>
        <w:tc>
          <w:tcPr>
            <w:tcW w:w="818" w:type="dxa"/>
            <w:hideMark/>
          </w:tcPr>
          <w:p w14:paraId="293C4517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117" w:type="dxa"/>
            <w:hideMark/>
          </w:tcPr>
          <w:p w14:paraId="083352EF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FPOQ/04/98</w:t>
            </w:r>
          </w:p>
        </w:tc>
        <w:tc>
          <w:tcPr>
            <w:tcW w:w="2416" w:type="dxa"/>
            <w:hideMark/>
          </w:tcPr>
          <w:p w14:paraId="34014A8E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Transporte y distribución de materiales peligrosos y residuos peligrosos.</w:t>
            </w:r>
          </w:p>
        </w:tc>
        <w:tc>
          <w:tcPr>
            <w:tcW w:w="2174" w:type="dxa"/>
            <w:hideMark/>
          </w:tcPr>
          <w:p w14:paraId="3095F81D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19 de agosto de 1998</w:t>
            </w:r>
          </w:p>
        </w:tc>
        <w:tc>
          <w:tcPr>
            <w:tcW w:w="4404" w:type="dxa"/>
            <w:hideMark/>
          </w:tcPr>
          <w:p w14:paraId="50FFAAED" w14:textId="77777777" w:rsidR="001C47F5" w:rsidRPr="001C47F5" w:rsidRDefault="001C47F5" w:rsidP="001C47F5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1C47F5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La Legislación existente requiere actualización.</w:t>
            </w:r>
          </w:p>
          <w:p w14:paraId="045C31CD" w14:textId="5CD0CAC4" w:rsidR="008E4ACB" w:rsidRPr="00B93729" w:rsidRDefault="008E4ACB" w:rsidP="004C2272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1" w:type="dxa"/>
            <w:hideMark/>
          </w:tcPr>
          <w:p w14:paraId="5FEF40F7" w14:textId="129B1E36" w:rsidR="008E4ACB" w:rsidRPr="00B93729" w:rsidRDefault="001C47F5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794D12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Pendiente</w:t>
            </w:r>
          </w:p>
        </w:tc>
      </w:tr>
      <w:tr w:rsidR="000279EC" w:rsidRPr="00B93729" w14:paraId="03D9A99F" w14:textId="77777777" w:rsidTr="00B93729">
        <w:trPr>
          <w:trHeight w:val="1470"/>
        </w:trPr>
        <w:tc>
          <w:tcPr>
            <w:tcW w:w="818" w:type="dxa"/>
            <w:hideMark/>
          </w:tcPr>
          <w:p w14:paraId="196EECF8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lastRenderedPageBreak/>
              <w:t>5</w:t>
            </w:r>
          </w:p>
        </w:tc>
        <w:tc>
          <w:tcPr>
            <w:tcW w:w="2117" w:type="dxa"/>
            <w:hideMark/>
          </w:tcPr>
          <w:p w14:paraId="4F85B60B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FPOQ/05/98</w:t>
            </w:r>
          </w:p>
        </w:tc>
        <w:tc>
          <w:tcPr>
            <w:tcW w:w="2416" w:type="dxa"/>
            <w:hideMark/>
          </w:tcPr>
          <w:p w14:paraId="57A59691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Los riesgos en las industrias y los posibles efectos hacia la comunidad.</w:t>
            </w:r>
          </w:p>
        </w:tc>
        <w:tc>
          <w:tcPr>
            <w:tcW w:w="2174" w:type="dxa"/>
            <w:hideMark/>
          </w:tcPr>
          <w:p w14:paraId="068E18F6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29 de septiembre de 1998</w:t>
            </w:r>
          </w:p>
        </w:tc>
        <w:tc>
          <w:tcPr>
            <w:tcW w:w="4404" w:type="dxa"/>
            <w:hideMark/>
          </w:tcPr>
          <w:p w14:paraId="14605882" w14:textId="77777777" w:rsidR="008E4ACB" w:rsidRPr="00B93729" w:rsidRDefault="00B3513A" w:rsidP="004C2272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Esta recomendación se redirige ya que en cumplimiento a la Ley, recae en atribuciones de la Secretaría del Medio Ambiente y Recursos Naturales.</w:t>
            </w:r>
          </w:p>
        </w:tc>
        <w:tc>
          <w:tcPr>
            <w:tcW w:w="1631" w:type="dxa"/>
            <w:hideMark/>
          </w:tcPr>
          <w:p w14:paraId="4F301D1C" w14:textId="15E79859" w:rsidR="008E4ACB" w:rsidRPr="00B93729" w:rsidRDefault="00B3513A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Se redirige</w:t>
            </w:r>
          </w:p>
        </w:tc>
      </w:tr>
      <w:tr w:rsidR="000279EC" w:rsidRPr="00B93729" w14:paraId="6E1C1581" w14:textId="77777777" w:rsidTr="00B93729">
        <w:trPr>
          <w:trHeight w:val="1490"/>
        </w:trPr>
        <w:tc>
          <w:tcPr>
            <w:tcW w:w="818" w:type="dxa"/>
            <w:hideMark/>
          </w:tcPr>
          <w:p w14:paraId="504CE232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117" w:type="dxa"/>
            <w:hideMark/>
          </w:tcPr>
          <w:p w14:paraId="308E832A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FPOQ/06/98</w:t>
            </w:r>
          </w:p>
        </w:tc>
        <w:tc>
          <w:tcPr>
            <w:tcW w:w="2416" w:type="dxa"/>
            <w:hideMark/>
          </w:tcPr>
          <w:p w14:paraId="664AA46B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Los grupos de ayuda mutua industrial.</w:t>
            </w:r>
          </w:p>
        </w:tc>
        <w:tc>
          <w:tcPr>
            <w:tcW w:w="2174" w:type="dxa"/>
            <w:hideMark/>
          </w:tcPr>
          <w:p w14:paraId="5892859F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13 de octubre de 1998</w:t>
            </w:r>
          </w:p>
        </w:tc>
        <w:tc>
          <w:tcPr>
            <w:tcW w:w="4404" w:type="dxa"/>
            <w:hideMark/>
          </w:tcPr>
          <w:p w14:paraId="75B7C214" w14:textId="77777777" w:rsidR="001C47F5" w:rsidRPr="001C47F5" w:rsidRDefault="001C47F5" w:rsidP="001C47F5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1C47F5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Esta recomendación se retoma en el año 2016 FPOQ/06/2016</w:t>
            </w:r>
          </w:p>
          <w:p w14:paraId="081CFC0F" w14:textId="66D4330F" w:rsidR="008E4ACB" w:rsidRPr="00B93729" w:rsidRDefault="008E4ACB" w:rsidP="004C2272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1" w:type="dxa"/>
            <w:hideMark/>
          </w:tcPr>
          <w:p w14:paraId="5AFE7003" w14:textId="0C1C5A61" w:rsidR="008E4ACB" w:rsidRPr="00B93729" w:rsidRDefault="001C47F5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794D12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Cancelada*</w:t>
            </w:r>
          </w:p>
        </w:tc>
      </w:tr>
      <w:tr w:rsidR="000279EC" w:rsidRPr="00B93729" w14:paraId="572B7398" w14:textId="77777777" w:rsidTr="00B93729">
        <w:trPr>
          <w:trHeight w:val="2117"/>
        </w:trPr>
        <w:tc>
          <w:tcPr>
            <w:tcW w:w="818" w:type="dxa"/>
            <w:hideMark/>
          </w:tcPr>
          <w:p w14:paraId="4671DDB7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17" w:type="dxa"/>
            <w:hideMark/>
          </w:tcPr>
          <w:p w14:paraId="19538608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FPOQ/07/98</w:t>
            </w:r>
          </w:p>
        </w:tc>
        <w:tc>
          <w:tcPr>
            <w:tcW w:w="2416" w:type="dxa"/>
            <w:hideMark/>
          </w:tcPr>
          <w:p w14:paraId="34499E80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Los riesgos de las personas que participan como voluntarios en la respuesta a emergencias.</w:t>
            </w:r>
          </w:p>
        </w:tc>
        <w:tc>
          <w:tcPr>
            <w:tcW w:w="2174" w:type="dxa"/>
            <w:hideMark/>
          </w:tcPr>
          <w:p w14:paraId="075253D1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18  de septiembre de 1998</w:t>
            </w:r>
          </w:p>
        </w:tc>
        <w:tc>
          <w:tcPr>
            <w:tcW w:w="4404" w:type="dxa"/>
            <w:hideMark/>
          </w:tcPr>
          <w:p w14:paraId="7C663F0E" w14:textId="77777777" w:rsidR="008E4ACB" w:rsidRPr="00B93729" w:rsidRDefault="009C26ED" w:rsidP="004C2272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Esta recomendación se redirige ya que en cumplimiento a la Ley, recae en atribuciones de la Secretaría del Trabajo y Previsión Social.</w:t>
            </w:r>
          </w:p>
        </w:tc>
        <w:tc>
          <w:tcPr>
            <w:tcW w:w="1631" w:type="dxa"/>
            <w:hideMark/>
          </w:tcPr>
          <w:p w14:paraId="798DFCE2" w14:textId="70CC4630" w:rsidR="008E4ACB" w:rsidRPr="00B93729" w:rsidRDefault="009C26ED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Se redirige</w:t>
            </w:r>
          </w:p>
        </w:tc>
      </w:tr>
      <w:tr w:rsidR="000279EC" w:rsidRPr="00B93729" w14:paraId="61FA7A6C" w14:textId="77777777" w:rsidTr="00B93729">
        <w:trPr>
          <w:trHeight w:val="1824"/>
        </w:trPr>
        <w:tc>
          <w:tcPr>
            <w:tcW w:w="818" w:type="dxa"/>
            <w:hideMark/>
          </w:tcPr>
          <w:p w14:paraId="38FE740C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117" w:type="dxa"/>
            <w:hideMark/>
          </w:tcPr>
          <w:p w14:paraId="14B6C46F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FPOQ/08/99</w:t>
            </w:r>
          </w:p>
        </w:tc>
        <w:tc>
          <w:tcPr>
            <w:tcW w:w="2416" w:type="dxa"/>
            <w:hideMark/>
          </w:tcPr>
          <w:p w14:paraId="429A8228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Elaboración de estudios de riesgo y programas de prevención de accidentes.</w:t>
            </w:r>
          </w:p>
        </w:tc>
        <w:tc>
          <w:tcPr>
            <w:tcW w:w="2174" w:type="dxa"/>
            <w:hideMark/>
          </w:tcPr>
          <w:p w14:paraId="3C801C56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Emitida 10 de febrero de 1999</w:t>
            </w: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br/>
              <w:t>Actualizada 05 de octubre de 2007</w:t>
            </w:r>
          </w:p>
        </w:tc>
        <w:tc>
          <w:tcPr>
            <w:tcW w:w="4404" w:type="dxa"/>
            <w:hideMark/>
          </w:tcPr>
          <w:p w14:paraId="347B6992" w14:textId="77777777" w:rsidR="001C47F5" w:rsidRPr="001C47F5" w:rsidRDefault="001C47F5" w:rsidP="001C47F5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1C47F5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Esta recomendación quedó atendida a través de la Secretaría del Medio Ambiente y Recursos Naturales. </w:t>
            </w:r>
          </w:p>
          <w:p w14:paraId="7D8DD250" w14:textId="77777777" w:rsidR="001C47F5" w:rsidRPr="001C47F5" w:rsidRDefault="001C47F5" w:rsidP="001C47F5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1C47F5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Esta recomendación será revisada por el Ing. Enrique Bravo.</w:t>
            </w:r>
          </w:p>
          <w:p w14:paraId="19CBE6FC" w14:textId="597339C0" w:rsidR="008E4ACB" w:rsidRPr="00B93729" w:rsidRDefault="008E4ACB" w:rsidP="004C2272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1" w:type="dxa"/>
            <w:hideMark/>
          </w:tcPr>
          <w:p w14:paraId="3E691FEC" w14:textId="329C9721" w:rsidR="008E4ACB" w:rsidRPr="00794D12" w:rsidRDefault="001C47F5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794D12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Pendiente</w:t>
            </w:r>
          </w:p>
        </w:tc>
      </w:tr>
      <w:tr w:rsidR="000279EC" w:rsidRPr="00B93729" w14:paraId="6DB03E9E" w14:textId="77777777" w:rsidTr="00B93729">
        <w:trPr>
          <w:trHeight w:val="1408"/>
        </w:trPr>
        <w:tc>
          <w:tcPr>
            <w:tcW w:w="818" w:type="dxa"/>
            <w:hideMark/>
          </w:tcPr>
          <w:p w14:paraId="61376B55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117" w:type="dxa"/>
            <w:hideMark/>
          </w:tcPr>
          <w:p w14:paraId="261D7D83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FPOQ/09/99</w:t>
            </w:r>
          </w:p>
        </w:tc>
        <w:tc>
          <w:tcPr>
            <w:tcW w:w="2416" w:type="dxa"/>
            <w:hideMark/>
          </w:tcPr>
          <w:p w14:paraId="5464D811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Los riesgos de los sistemas de tuberías </w:t>
            </w:r>
            <w:proofErr w:type="spellStart"/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interinstalaciones</w:t>
            </w:r>
            <w:proofErr w:type="spellEnd"/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 que conducen materiales peligrosos.</w:t>
            </w:r>
          </w:p>
        </w:tc>
        <w:tc>
          <w:tcPr>
            <w:tcW w:w="2174" w:type="dxa"/>
            <w:hideMark/>
          </w:tcPr>
          <w:p w14:paraId="3BC1D6F9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10 de febrero de 1999</w:t>
            </w:r>
          </w:p>
        </w:tc>
        <w:tc>
          <w:tcPr>
            <w:tcW w:w="4404" w:type="dxa"/>
            <w:hideMark/>
          </w:tcPr>
          <w:p w14:paraId="1660DD49" w14:textId="77777777" w:rsidR="008E4ACB" w:rsidRPr="00B93729" w:rsidRDefault="00FF2241" w:rsidP="004C2272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Esta recomendación se redirige ya que en cumplimiento a la Ley, recae en atribuciones de la Secretaría de Energía. Asimismo, se observa que el título no corresponde con el objetivo ni con las acciones propuestas.</w:t>
            </w:r>
          </w:p>
        </w:tc>
        <w:tc>
          <w:tcPr>
            <w:tcW w:w="1631" w:type="dxa"/>
            <w:hideMark/>
          </w:tcPr>
          <w:p w14:paraId="1D15F04B" w14:textId="67AD9C4E" w:rsidR="008E4ACB" w:rsidRPr="00B93729" w:rsidRDefault="00FF2241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Se redirige</w:t>
            </w:r>
          </w:p>
        </w:tc>
      </w:tr>
      <w:tr w:rsidR="000279EC" w:rsidRPr="00B93729" w14:paraId="76D0BACE" w14:textId="77777777" w:rsidTr="00B93729">
        <w:trPr>
          <w:trHeight w:val="1635"/>
        </w:trPr>
        <w:tc>
          <w:tcPr>
            <w:tcW w:w="818" w:type="dxa"/>
            <w:hideMark/>
          </w:tcPr>
          <w:p w14:paraId="1D5F1748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lastRenderedPageBreak/>
              <w:t>10</w:t>
            </w:r>
          </w:p>
        </w:tc>
        <w:tc>
          <w:tcPr>
            <w:tcW w:w="2117" w:type="dxa"/>
            <w:hideMark/>
          </w:tcPr>
          <w:p w14:paraId="640CDD93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FPOQ/10/13</w:t>
            </w:r>
          </w:p>
        </w:tc>
        <w:tc>
          <w:tcPr>
            <w:tcW w:w="2416" w:type="dxa"/>
            <w:hideMark/>
          </w:tcPr>
          <w:p w14:paraId="5C9D47FD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Desarrollo e implantación de un "Sistema Nacional de Gestión de Riesgos Químicos."</w:t>
            </w:r>
          </w:p>
        </w:tc>
        <w:tc>
          <w:tcPr>
            <w:tcW w:w="2174" w:type="dxa"/>
            <w:hideMark/>
          </w:tcPr>
          <w:p w14:paraId="18DF8ADB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Emitida 12 de octubre de 1999</w:t>
            </w: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br/>
              <w:t>Actualizada 02 de octubre de 2009</w:t>
            </w: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br/>
              <w:t>18 de enero de 2013</w:t>
            </w:r>
          </w:p>
        </w:tc>
        <w:tc>
          <w:tcPr>
            <w:tcW w:w="4404" w:type="dxa"/>
            <w:hideMark/>
          </w:tcPr>
          <w:p w14:paraId="52DEB425" w14:textId="77777777" w:rsidR="008E4ACB" w:rsidRPr="00B93729" w:rsidRDefault="008E4ACB" w:rsidP="004C2272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La recomendación fue enviada a la CNPC actualmente no se cuenta con información, por parte de la CNPC, sobre el estado que guarda la recomendación.</w:t>
            </w:r>
          </w:p>
        </w:tc>
        <w:tc>
          <w:tcPr>
            <w:tcW w:w="1631" w:type="dxa"/>
            <w:hideMark/>
          </w:tcPr>
          <w:p w14:paraId="44B1DF4F" w14:textId="77777777" w:rsidR="008E4ACB" w:rsidRPr="00B93729" w:rsidRDefault="008E4ACB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Cancelada</w:t>
            </w:r>
          </w:p>
        </w:tc>
      </w:tr>
      <w:tr w:rsidR="000279EC" w:rsidRPr="00B93729" w14:paraId="18CD462D" w14:textId="77777777" w:rsidTr="00B93729">
        <w:trPr>
          <w:trHeight w:val="1635"/>
        </w:trPr>
        <w:tc>
          <w:tcPr>
            <w:tcW w:w="818" w:type="dxa"/>
            <w:hideMark/>
          </w:tcPr>
          <w:p w14:paraId="409B5A43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117" w:type="dxa"/>
            <w:hideMark/>
          </w:tcPr>
          <w:p w14:paraId="22E285B2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FPOQ/11/00</w:t>
            </w:r>
          </w:p>
        </w:tc>
        <w:tc>
          <w:tcPr>
            <w:tcW w:w="2416" w:type="dxa"/>
            <w:hideMark/>
          </w:tcPr>
          <w:p w14:paraId="672FD0D5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Manejo de medicamentos caducos.</w:t>
            </w:r>
          </w:p>
        </w:tc>
        <w:tc>
          <w:tcPr>
            <w:tcW w:w="2174" w:type="dxa"/>
            <w:hideMark/>
          </w:tcPr>
          <w:p w14:paraId="306B6D0C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19 de julio de 2000</w:t>
            </w:r>
          </w:p>
        </w:tc>
        <w:tc>
          <w:tcPr>
            <w:tcW w:w="4404" w:type="dxa"/>
            <w:hideMark/>
          </w:tcPr>
          <w:p w14:paraId="24432DE4" w14:textId="77777777" w:rsidR="008E4ACB" w:rsidRPr="00B93729" w:rsidRDefault="000279EC" w:rsidP="004C2272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Esta recomendación quedó atendida a través de la Secretaría de Salud, quien estableció lineamientos para el manejo de medicamentos caducos. Asimismo, lo referente a donaciones quedó atendido a través de la CNPC en el Reglamento de la Ley General de Protección Civil.</w:t>
            </w:r>
          </w:p>
        </w:tc>
        <w:tc>
          <w:tcPr>
            <w:tcW w:w="1631" w:type="dxa"/>
            <w:hideMark/>
          </w:tcPr>
          <w:p w14:paraId="40445713" w14:textId="0A523E1F" w:rsidR="008E4ACB" w:rsidRPr="00B93729" w:rsidRDefault="000279EC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Atendida</w:t>
            </w:r>
          </w:p>
        </w:tc>
      </w:tr>
      <w:tr w:rsidR="000279EC" w:rsidRPr="00B93729" w14:paraId="6D95F6C2" w14:textId="77777777" w:rsidTr="00B93729">
        <w:trPr>
          <w:trHeight w:val="1635"/>
        </w:trPr>
        <w:tc>
          <w:tcPr>
            <w:tcW w:w="818" w:type="dxa"/>
            <w:hideMark/>
          </w:tcPr>
          <w:p w14:paraId="1609F0C3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17" w:type="dxa"/>
            <w:hideMark/>
          </w:tcPr>
          <w:p w14:paraId="16661619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FPOQ/12/00</w:t>
            </w:r>
          </w:p>
        </w:tc>
        <w:tc>
          <w:tcPr>
            <w:tcW w:w="2416" w:type="dxa"/>
            <w:hideMark/>
          </w:tcPr>
          <w:p w14:paraId="656A8BD4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Confinamiento de sustancias químicas.</w:t>
            </w:r>
          </w:p>
        </w:tc>
        <w:tc>
          <w:tcPr>
            <w:tcW w:w="2174" w:type="dxa"/>
            <w:hideMark/>
          </w:tcPr>
          <w:p w14:paraId="4383408C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11 de octubre de 2000</w:t>
            </w:r>
          </w:p>
        </w:tc>
        <w:tc>
          <w:tcPr>
            <w:tcW w:w="4404" w:type="dxa"/>
            <w:hideMark/>
          </w:tcPr>
          <w:p w14:paraId="1D50105B" w14:textId="77777777" w:rsidR="008E4ACB" w:rsidRPr="00B93729" w:rsidRDefault="000279EC" w:rsidP="004C2272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Esta recomendación quedó atendida a través de la Secretaría del Medio Ambiente y Recursos Naturales en la Ley General de Equilibrio Ecológico y Protección al Ambiente.</w:t>
            </w:r>
          </w:p>
        </w:tc>
        <w:tc>
          <w:tcPr>
            <w:tcW w:w="1631" w:type="dxa"/>
            <w:hideMark/>
          </w:tcPr>
          <w:p w14:paraId="23903034" w14:textId="77777777" w:rsidR="008E4ACB" w:rsidRPr="00B93729" w:rsidRDefault="000279EC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Atendida</w:t>
            </w:r>
          </w:p>
        </w:tc>
      </w:tr>
      <w:tr w:rsidR="000279EC" w:rsidRPr="00B93729" w14:paraId="3555D47C" w14:textId="77777777" w:rsidTr="00B93729">
        <w:trPr>
          <w:trHeight w:val="2356"/>
        </w:trPr>
        <w:tc>
          <w:tcPr>
            <w:tcW w:w="818" w:type="dxa"/>
            <w:hideMark/>
          </w:tcPr>
          <w:p w14:paraId="2D284F56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17" w:type="dxa"/>
            <w:hideMark/>
          </w:tcPr>
          <w:p w14:paraId="7E786E94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FPOQ/13/00</w:t>
            </w:r>
          </w:p>
        </w:tc>
        <w:tc>
          <w:tcPr>
            <w:tcW w:w="2416" w:type="dxa"/>
            <w:hideMark/>
          </w:tcPr>
          <w:p w14:paraId="6D3729E3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Capacitación y certificación de los jefes de tráfico y logística, administradores y jefes de almacén, respecto a la aplicación de los reglamentos y normas que deben cumplirse en el almacenamiento, manejo y distribución de los materiales y residuos peligrosos.</w:t>
            </w:r>
          </w:p>
        </w:tc>
        <w:tc>
          <w:tcPr>
            <w:tcW w:w="2174" w:type="dxa"/>
            <w:hideMark/>
          </w:tcPr>
          <w:p w14:paraId="784EC8B2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11de octubre de 2000</w:t>
            </w:r>
          </w:p>
        </w:tc>
        <w:tc>
          <w:tcPr>
            <w:tcW w:w="4404" w:type="dxa"/>
            <w:hideMark/>
          </w:tcPr>
          <w:p w14:paraId="01764FC7" w14:textId="77777777" w:rsidR="008E4ACB" w:rsidRPr="00B93729" w:rsidRDefault="00587A7A" w:rsidP="004C2272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Esta recomendación se redirige ya que en cumplimiento a la Ley recae en atribuciones de la Secretaría del Trabajo y Previsión Social.</w:t>
            </w:r>
          </w:p>
        </w:tc>
        <w:tc>
          <w:tcPr>
            <w:tcW w:w="1631" w:type="dxa"/>
            <w:hideMark/>
          </w:tcPr>
          <w:p w14:paraId="32DF2331" w14:textId="77777777" w:rsidR="008E4ACB" w:rsidRPr="00B93729" w:rsidRDefault="00587A7A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Se redirige</w:t>
            </w:r>
          </w:p>
        </w:tc>
      </w:tr>
      <w:tr w:rsidR="000279EC" w:rsidRPr="00B93729" w14:paraId="3CEEF692" w14:textId="77777777" w:rsidTr="00B93729">
        <w:trPr>
          <w:trHeight w:val="416"/>
        </w:trPr>
        <w:tc>
          <w:tcPr>
            <w:tcW w:w="818" w:type="dxa"/>
            <w:hideMark/>
          </w:tcPr>
          <w:p w14:paraId="38C57B8A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117" w:type="dxa"/>
            <w:hideMark/>
          </w:tcPr>
          <w:p w14:paraId="0B214134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FPOQ/14/01</w:t>
            </w:r>
          </w:p>
        </w:tc>
        <w:tc>
          <w:tcPr>
            <w:tcW w:w="2416" w:type="dxa"/>
            <w:hideMark/>
          </w:tcPr>
          <w:p w14:paraId="15CF1E71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Programas integrales de concientización hacia las comunidades expuestas al riesgo.</w:t>
            </w:r>
          </w:p>
        </w:tc>
        <w:tc>
          <w:tcPr>
            <w:tcW w:w="2174" w:type="dxa"/>
            <w:hideMark/>
          </w:tcPr>
          <w:p w14:paraId="45CF9185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14 de febrero de 2001</w:t>
            </w:r>
          </w:p>
        </w:tc>
        <w:tc>
          <w:tcPr>
            <w:tcW w:w="4404" w:type="dxa"/>
            <w:hideMark/>
          </w:tcPr>
          <w:p w14:paraId="470E6532" w14:textId="77777777" w:rsidR="008E4ACB" w:rsidRPr="00B93729" w:rsidRDefault="008E4ACB" w:rsidP="004C2272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Mediante el Oficio No. H00-D.G./245/2002, del 10 de abril de 2002, se remitió, a la entonces CGPC, un resumen de las recomendaciones emitidas hasta el </w:t>
            </w: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lastRenderedPageBreak/>
              <w:t>momento, así como una copia de cada una. No se ha recibido información sobre su seguimiento.</w:t>
            </w:r>
          </w:p>
        </w:tc>
        <w:tc>
          <w:tcPr>
            <w:tcW w:w="1631" w:type="dxa"/>
            <w:hideMark/>
          </w:tcPr>
          <w:p w14:paraId="0E4D0CC1" w14:textId="77777777" w:rsidR="008E4ACB" w:rsidRPr="00B93729" w:rsidRDefault="003937CC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lastRenderedPageBreak/>
              <w:t>En desarrollo</w:t>
            </w:r>
          </w:p>
        </w:tc>
      </w:tr>
      <w:tr w:rsidR="000279EC" w:rsidRPr="00B93729" w14:paraId="6E9427F1" w14:textId="77777777" w:rsidTr="00B93729">
        <w:trPr>
          <w:trHeight w:val="1095"/>
        </w:trPr>
        <w:tc>
          <w:tcPr>
            <w:tcW w:w="818" w:type="dxa"/>
            <w:hideMark/>
          </w:tcPr>
          <w:p w14:paraId="36760A31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117" w:type="dxa"/>
            <w:hideMark/>
          </w:tcPr>
          <w:p w14:paraId="6971DAC1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FPOQ/15/02</w:t>
            </w:r>
          </w:p>
        </w:tc>
        <w:tc>
          <w:tcPr>
            <w:tcW w:w="2416" w:type="dxa"/>
            <w:hideMark/>
          </w:tcPr>
          <w:p w14:paraId="4FE21FF7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Definición del prototipo del Centro Nacional de Comunicaciones (CENACOM).</w:t>
            </w:r>
          </w:p>
        </w:tc>
        <w:tc>
          <w:tcPr>
            <w:tcW w:w="2174" w:type="dxa"/>
            <w:hideMark/>
          </w:tcPr>
          <w:p w14:paraId="30F11841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09 de octubre de 2002</w:t>
            </w:r>
          </w:p>
        </w:tc>
        <w:tc>
          <w:tcPr>
            <w:tcW w:w="4404" w:type="dxa"/>
            <w:hideMark/>
          </w:tcPr>
          <w:p w14:paraId="2C3C4111" w14:textId="77777777" w:rsidR="008E4ACB" w:rsidRPr="00B93729" w:rsidRDefault="008E4ACB" w:rsidP="00F56B02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Mediante el Oficio No. CCARQ/01/2005, del 9 de febrero de 2005, se remitió nuevamente a la CGPC. </w:t>
            </w:r>
          </w:p>
        </w:tc>
        <w:tc>
          <w:tcPr>
            <w:tcW w:w="1631" w:type="dxa"/>
            <w:hideMark/>
          </w:tcPr>
          <w:p w14:paraId="1E98FFA5" w14:textId="77777777" w:rsidR="008E4ACB" w:rsidRPr="00B93729" w:rsidRDefault="00F56B02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Atendida</w:t>
            </w:r>
          </w:p>
        </w:tc>
      </w:tr>
      <w:tr w:rsidR="000279EC" w:rsidRPr="00B93729" w14:paraId="73283C3C" w14:textId="77777777" w:rsidTr="00B93729">
        <w:trPr>
          <w:trHeight w:val="2985"/>
        </w:trPr>
        <w:tc>
          <w:tcPr>
            <w:tcW w:w="818" w:type="dxa"/>
            <w:hideMark/>
          </w:tcPr>
          <w:p w14:paraId="44CD41EF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117" w:type="dxa"/>
            <w:hideMark/>
          </w:tcPr>
          <w:p w14:paraId="1167518F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FPOQ/16/02</w:t>
            </w:r>
          </w:p>
        </w:tc>
        <w:tc>
          <w:tcPr>
            <w:tcW w:w="2416" w:type="dxa"/>
            <w:hideMark/>
          </w:tcPr>
          <w:p w14:paraId="43B0855C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Perfil del responsable de Protección Civil para riesgos químicos a nivel federal, estatal, municipal y delegacional.</w:t>
            </w:r>
          </w:p>
        </w:tc>
        <w:tc>
          <w:tcPr>
            <w:tcW w:w="2174" w:type="dxa"/>
            <w:hideMark/>
          </w:tcPr>
          <w:p w14:paraId="65F8ECEA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09 de octubre de 2002</w:t>
            </w:r>
          </w:p>
        </w:tc>
        <w:tc>
          <w:tcPr>
            <w:tcW w:w="4404" w:type="dxa"/>
            <w:hideMark/>
          </w:tcPr>
          <w:p w14:paraId="19A5CCB0" w14:textId="77777777" w:rsidR="002616F3" w:rsidRPr="00B93729" w:rsidRDefault="002616F3" w:rsidP="002616F3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No procede debido a que no se especifica cuál es la finalidad y el mecanismo para la implementación del perfil del responsable de Protección Civil.</w:t>
            </w:r>
          </w:p>
          <w:p w14:paraId="08AA4333" w14:textId="77777777" w:rsidR="008E4ACB" w:rsidRPr="00B93729" w:rsidRDefault="002616F3" w:rsidP="002616F3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Esta recomendación fue firmada únicamente por tres miembros del comité.</w:t>
            </w:r>
          </w:p>
        </w:tc>
        <w:tc>
          <w:tcPr>
            <w:tcW w:w="1631" w:type="dxa"/>
            <w:hideMark/>
          </w:tcPr>
          <w:p w14:paraId="06E0A50B" w14:textId="77777777" w:rsidR="008E4ACB" w:rsidRPr="00B93729" w:rsidRDefault="002616F3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No procede</w:t>
            </w:r>
          </w:p>
        </w:tc>
      </w:tr>
      <w:tr w:rsidR="000279EC" w:rsidRPr="00B93729" w14:paraId="231748F2" w14:textId="77777777" w:rsidTr="00B93729">
        <w:trPr>
          <w:trHeight w:val="1691"/>
        </w:trPr>
        <w:tc>
          <w:tcPr>
            <w:tcW w:w="818" w:type="dxa"/>
            <w:hideMark/>
          </w:tcPr>
          <w:p w14:paraId="699BAE33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117" w:type="dxa"/>
            <w:hideMark/>
          </w:tcPr>
          <w:p w14:paraId="1476C3A8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FPOQ/17/2004</w:t>
            </w:r>
          </w:p>
        </w:tc>
        <w:tc>
          <w:tcPr>
            <w:tcW w:w="2416" w:type="dxa"/>
            <w:hideMark/>
          </w:tcPr>
          <w:p w14:paraId="2B3CB170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Equipamiento de las Unidades de Protección Civil locales, en materia de riesgos químicos.</w:t>
            </w:r>
          </w:p>
        </w:tc>
        <w:tc>
          <w:tcPr>
            <w:tcW w:w="2174" w:type="dxa"/>
            <w:hideMark/>
          </w:tcPr>
          <w:p w14:paraId="526FF25F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08 de noviembre de 2004</w:t>
            </w:r>
          </w:p>
        </w:tc>
        <w:tc>
          <w:tcPr>
            <w:tcW w:w="4404" w:type="dxa"/>
            <w:hideMark/>
          </w:tcPr>
          <w:p w14:paraId="2BB21ACD" w14:textId="77777777" w:rsidR="008E4ACB" w:rsidRPr="00B93729" w:rsidRDefault="000E1355" w:rsidP="004C2272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Esta recomendación no procede ya que es a nivel municipal y resuelve una acción específica. Protección Civil Municipal es quien debe atenderla.</w:t>
            </w:r>
          </w:p>
        </w:tc>
        <w:tc>
          <w:tcPr>
            <w:tcW w:w="1631" w:type="dxa"/>
            <w:hideMark/>
          </w:tcPr>
          <w:p w14:paraId="6ABB00B6" w14:textId="77777777" w:rsidR="008E4ACB" w:rsidRPr="00B93729" w:rsidRDefault="000E1355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No procede</w:t>
            </w:r>
          </w:p>
        </w:tc>
      </w:tr>
      <w:tr w:rsidR="000279EC" w:rsidRPr="00B93729" w14:paraId="543DB85F" w14:textId="77777777" w:rsidTr="00B93729">
        <w:trPr>
          <w:trHeight w:val="1365"/>
        </w:trPr>
        <w:tc>
          <w:tcPr>
            <w:tcW w:w="818" w:type="dxa"/>
            <w:hideMark/>
          </w:tcPr>
          <w:p w14:paraId="4F5624EF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2117" w:type="dxa"/>
            <w:hideMark/>
          </w:tcPr>
          <w:p w14:paraId="36D3C76E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FPOQ/18/2005</w:t>
            </w:r>
          </w:p>
        </w:tc>
        <w:tc>
          <w:tcPr>
            <w:tcW w:w="2416" w:type="dxa"/>
            <w:hideMark/>
          </w:tcPr>
          <w:p w14:paraId="7596A24C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Programa de prevención de riesgos y de respuesta a emergencias en museos, bibliotecas, iglesias y sitios históricos.</w:t>
            </w:r>
          </w:p>
        </w:tc>
        <w:tc>
          <w:tcPr>
            <w:tcW w:w="2174" w:type="dxa"/>
            <w:hideMark/>
          </w:tcPr>
          <w:p w14:paraId="2EDD278F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11 de mayo de 2005</w:t>
            </w:r>
          </w:p>
        </w:tc>
        <w:tc>
          <w:tcPr>
            <w:tcW w:w="4404" w:type="dxa"/>
            <w:hideMark/>
          </w:tcPr>
          <w:p w14:paraId="75436CCB" w14:textId="77777777" w:rsidR="008E4ACB" w:rsidRPr="00B93729" w:rsidRDefault="00371B47" w:rsidP="004C2272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Esta recomendación es atendida a través del programa interno de Protección Civil.</w:t>
            </w:r>
          </w:p>
        </w:tc>
        <w:tc>
          <w:tcPr>
            <w:tcW w:w="1631" w:type="dxa"/>
            <w:hideMark/>
          </w:tcPr>
          <w:p w14:paraId="36B18B67" w14:textId="77777777" w:rsidR="008E4ACB" w:rsidRPr="00B93729" w:rsidRDefault="00895AEC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Atendida</w:t>
            </w:r>
          </w:p>
        </w:tc>
      </w:tr>
      <w:tr w:rsidR="000279EC" w:rsidRPr="00B93729" w14:paraId="5DD2C51F" w14:textId="77777777" w:rsidTr="00B93729">
        <w:trPr>
          <w:trHeight w:val="1905"/>
        </w:trPr>
        <w:tc>
          <w:tcPr>
            <w:tcW w:w="818" w:type="dxa"/>
            <w:hideMark/>
          </w:tcPr>
          <w:p w14:paraId="5ED6F910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lastRenderedPageBreak/>
              <w:t>19</w:t>
            </w:r>
          </w:p>
        </w:tc>
        <w:tc>
          <w:tcPr>
            <w:tcW w:w="2117" w:type="dxa"/>
            <w:hideMark/>
          </w:tcPr>
          <w:p w14:paraId="781DD1DF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FPOQ/19/2010</w:t>
            </w:r>
          </w:p>
        </w:tc>
        <w:tc>
          <w:tcPr>
            <w:tcW w:w="2416" w:type="dxa"/>
            <w:hideMark/>
          </w:tcPr>
          <w:p w14:paraId="2B0949E8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Esquema de capacitación </w:t>
            </w:r>
            <w:r w:rsidR="00034DBC"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modular para</w:t>
            </w: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 el personal de Protección Civil en materia de riesgos químicos.</w:t>
            </w:r>
          </w:p>
        </w:tc>
        <w:tc>
          <w:tcPr>
            <w:tcW w:w="2174" w:type="dxa"/>
            <w:hideMark/>
          </w:tcPr>
          <w:p w14:paraId="1E65005B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Emitida 11 de mayo de 2005</w:t>
            </w: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br/>
              <w:t>Actualizada 16 de noviembre de 2007 y 09 de abril de 2010</w:t>
            </w:r>
          </w:p>
        </w:tc>
        <w:tc>
          <w:tcPr>
            <w:tcW w:w="4404" w:type="dxa"/>
            <w:hideMark/>
          </w:tcPr>
          <w:p w14:paraId="23CB69F1" w14:textId="77777777" w:rsidR="008E4ACB" w:rsidRPr="00B93729" w:rsidRDefault="002616F3" w:rsidP="004C2272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El Técnico Básico en GIR está contribuyendo a la capacitación de los responsables de Protección Civil ante los fenómenos perturbadores de origen químico. La recomendación se fundamenta en la implementación de: Recomendación FPOQ/016/2002, recomendación FPOQ/017/2004, FPOQ/023/2010, recomendación FPOQ/026/2005.</w:t>
            </w:r>
          </w:p>
        </w:tc>
        <w:tc>
          <w:tcPr>
            <w:tcW w:w="1631" w:type="dxa"/>
            <w:hideMark/>
          </w:tcPr>
          <w:p w14:paraId="4DAC15F2" w14:textId="77777777" w:rsidR="008E4ACB" w:rsidRPr="00B93729" w:rsidRDefault="002616F3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En desarrollo</w:t>
            </w:r>
          </w:p>
        </w:tc>
      </w:tr>
      <w:tr w:rsidR="000279EC" w:rsidRPr="00B93729" w14:paraId="580D7B70" w14:textId="77777777" w:rsidTr="00B93729">
        <w:trPr>
          <w:trHeight w:val="1635"/>
        </w:trPr>
        <w:tc>
          <w:tcPr>
            <w:tcW w:w="818" w:type="dxa"/>
            <w:hideMark/>
          </w:tcPr>
          <w:p w14:paraId="79E118CA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117" w:type="dxa"/>
            <w:hideMark/>
          </w:tcPr>
          <w:p w14:paraId="4B80F81D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FPOQ/20/2005</w:t>
            </w:r>
          </w:p>
        </w:tc>
        <w:tc>
          <w:tcPr>
            <w:tcW w:w="2416" w:type="dxa"/>
            <w:hideMark/>
          </w:tcPr>
          <w:p w14:paraId="2DBB5EC2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Estructura y mecanismos de coordinación y comunicación de Protección Civil en riesgos químicos.</w:t>
            </w:r>
          </w:p>
        </w:tc>
        <w:tc>
          <w:tcPr>
            <w:tcW w:w="2174" w:type="dxa"/>
            <w:hideMark/>
          </w:tcPr>
          <w:p w14:paraId="082EF360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06 de julio de 2005</w:t>
            </w:r>
          </w:p>
        </w:tc>
        <w:tc>
          <w:tcPr>
            <w:tcW w:w="4404" w:type="dxa"/>
            <w:hideMark/>
          </w:tcPr>
          <w:p w14:paraId="0C3B5483" w14:textId="77777777" w:rsidR="008E4ACB" w:rsidRPr="00B93729" w:rsidRDefault="008E4ACB" w:rsidP="0065273E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Mediante el Oficio No. CCARQ/04/2005, del 19 de octubre de 2005, se remitió a la CGPC. </w:t>
            </w:r>
            <w:r w:rsidR="0065273E"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Se desarrolló por el CENACOM.</w:t>
            </w:r>
          </w:p>
        </w:tc>
        <w:tc>
          <w:tcPr>
            <w:tcW w:w="1631" w:type="dxa"/>
            <w:hideMark/>
          </w:tcPr>
          <w:p w14:paraId="5B25E6A0" w14:textId="77777777" w:rsidR="008E4ACB" w:rsidRPr="00B93729" w:rsidRDefault="008E4ACB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Atendida</w:t>
            </w:r>
          </w:p>
        </w:tc>
      </w:tr>
      <w:tr w:rsidR="000279EC" w:rsidRPr="00B93729" w14:paraId="6F961985" w14:textId="77777777" w:rsidTr="00B93729">
        <w:trPr>
          <w:trHeight w:val="1365"/>
        </w:trPr>
        <w:tc>
          <w:tcPr>
            <w:tcW w:w="818" w:type="dxa"/>
            <w:hideMark/>
          </w:tcPr>
          <w:p w14:paraId="1845666F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117" w:type="dxa"/>
            <w:hideMark/>
          </w:tcPr>
          <w:p w14:paraId="397775A2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FPOQ/21/2005</w:t>
            </w:r>
          </w:p>
        </w:tc>
        <w:tc>
          <w:tcPr>
            <w:tcW w:w="2416" w:type="dxa"/>
            <w:hideMark/>
          </w:tcPr>
          <w:p w14:paraId="36E8A25E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Evaluación del impacto socioeconómico de los fenómenos químicos.</w:t>
            </w:r>
          </w:p>
        </w:tc>
        <w:tc>
          <w:tcPr>
            <w:tcW w:w="2174" w:type="dxa"/>
            <w:hideMark/>
          </w:tcPr>
          <w:p w14:paraId="15A9B3D0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Emitida 06 de julio  de 2005</w:t>
            </w: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br/>
              <w:t>Actualizada 08 de febrero de 2008</w:t>
            </w:r>
          </w:p>
        </w:tc>
        <w:tc>
          <w:tcPr>
            <w:tcW w:w="4404" w:type="dxa"/>
            <w:hideMark/>
          </w:tcPr>
          <w:p w14:paraId="21399207" w14:textId="77777777" w:rsidR="001C47F5" w:rsidRPr="001C47F5" w:rsidRDefault="001C47F5" w:rsidP="001C47F5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1C47F5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Mediante el Oficio No. CCARQ/02/2008, del 14 de marzo de 2008, se remitió a la CGPC. </w:t>
            </w:r>
          </w:p>
          <w:p w14:paraId="38A3DA21" w14:textId="006369AF" w:rsidR="001C47F5" w:rsidRPr="001C47F5" w:rsidRDefault="001C47F5" w:rsidP="001C47F5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1C47F5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La Subdirección de Estudios Económicos y Sociales del CENAPRED publica anualmente el estudio de Impacto Socioeconómico de los Desastres en México y en </w:t>
            </w:r>
            <w:r w:rsidR="00586B8E" w:rsidRPr="001C47F5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él</w:t>
            </w:r>
            <w:r w:rsidRPr="001C47F5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 se muestra la evaluación del impacto por fenómenos químicos.</w:t>
            </w:r>
          </w:p>
          <w:p w14:paraId="2A63E6DD" w14:textId="2330C671" w:rsidR="008E4ACB" w:rsidRPr="00B93729" w:rsidRDefault="008E4ACB" w:rsidP="004C2272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1" w:type="dxa"/>
            <w:hideMark/>
          </w:tcPr>
          <w:p w14:paraId="559C7DE2" w14:textId="462BB812" w:rsidR="008E4ACB" w:rsidRPr="00B93729" w:rsidRDefault="00586B8E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794D12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Atendida</w:t>
            </w:r>
          </w:p>
        </w:tc>
      </w:tr>
      <w:tr w:rsidR="000279EC" w:rsidRPr="00B93729" w14:paraId="2075354F" w14:textId="77777777" w:rsidTr="00B93729">
        <w:trPr>
          <w:trHeight w:val="1365"/>
        </w:trPr>
        <w:tc>
          <w:tcPr>
            <w:tcW w:w="818" w:type="dxa"/>
            <w:hideMark/>
          </w:tcPr>
          <w:p w14:paraId="6C5DFC06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117" w:type="dxa"/>
            <w:hideMark/>
          </w:tcPr>
          <w:p w14:paraId="6C9A63FE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FPOQ/22/2005</w:t>
            </w:r>
          </w:p>
        </w:tc>
        <w:tc>
          <w:tcPr>
            <w:tcW w:w="2416" w:type="dxa"/>
            <w:hideMark/>
          </w:tcPr>
          <w:p w14:paraId="79FB042D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Manejo seguro de materiales pirotécnicos durante su almacenamiento temporal.</w:t>
            </w:r>
          </w:p>
        </w:tc>
        <w:tc>
          <w:tcPr>
            <w:tcW w:w="2174" w:type="dxa"/>
            <w:hideMark/>
          </w:tcPr>
          <w:p w14:paraId="2DDC2AC2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10 de agosto de 2005</w:t>
            </w:r>
          </w:p>
        </w:tc>
        <w:tc>
          <w:tcPr>
            <w:tcW w:w="4404" w:type="dxa"/>
            <w:hideMark/>
          </w:tcPr>
          <w:p w14:paraId="3042CD4D" w14:textId="77777777" w:rsidR="008E4ACB" w:rsidRPr="00B93729" w:rsidRDefault="008E4ACB" w:rsidP="004C2272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Mediante el Oficio No. CCARQ/04/2005, del 19 de octubre de 2005, se remitió a la CGPC. </w:t>
            </w:r>
            <w:r w:rsidR="005A57C0"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El CENAPRED publicó la Guía para el almacenamiento temporal y el uso de juegos pirotécnicos en exteriores.</w:t>
            </w:r>
          </w:p>
          <w:p w14:paraId="72612A6B" w14:textId="144B853A" w:rsidR="005A57C0" w:rsidRPr="00B93729" w:rsidRDefault="005A57C0" w:rsidP="004C2272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1" w:type="dxa"/>
            <w:hideMark/>
          </w:tcPr>
          <w:p w14:paraId="14A531D3" w14:textId="0DDA8C78" w:rsidR="008E4ACB" w:rsidRPr="00B93729" w:rsidRDefault="005A57C0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Atendida</w:t>
            </w:r>
          </w:p>
        </w:tc>
      </w:tr>
      <w:tr w:rsidR="000279EC" w:rsidRPr="00B93729" w14:paraId="3A10251D" w14:textId="77777777" w:rsidTr="00B93729">
        <w:trPr>
          <w:trHeight w:val="1163"/>
        </w:trPr>
        <w:tc>
          <w:tcPr>
            <w:tcW w:w="818" w:type="dxa"/>
            <w:hideMark/>
          </w:tcPr>
          <w:p w14:paraId="4B8AE061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117" w:type="dxa"/>
            <w:hideMark/>
          </w:tcPr>
          <w:p w14:paraId="29CECA6C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FPOQ/23/2005</w:t>
            </w:r>
          </w:p>
        </w:tc>
        <w:tc>
          <w:tcPr>
            <w:tcW w:w="2416" w:type="dxa"/>
            <w:hideMark/>
          </w:tcPr>
          <w:p w14:paraId="7D385B43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Esquema de capacitación modular para el personal de Protección Civil local en materia de riesgos químicos.</w:t>
            </w:r>
          </w:p>
        </w:tc>
        <w:tc>
          <w:tcPr>
            <w:tcW w:w="2174" w:type="dxa"/>
            <w:hideMark/>
          </w:tcPr>
          <w:p w14:paraId="761204DC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19 de octubre de 2005</w:t>
            </w:r>
          </w:p>
        </w:tc>
        <w:tc>
          <w:tcPr>
            <w:tcW w:w="4404" w:type="dxa"/>
            <w:hideMark/>
          </w:tcPr>
          <w:p w14:paraId="2C515EF0" w14:textId="77777777" w:rsidR="008E4ACB" w:rsidRPr="00B93729" w:rsidRDefault="005801C2" w:rsidP="004C2272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No procede debido a que duplica la recomendación FPOQ/019/2010.</w:t>
            </w:r>
          </w:p>
        </w:tc>
        <w:tc>
          <w:tcPr>
            <w:tcW w:w="1631" w:type="dxa"/>
            <w:hideMark/>
          </w:tcPr>
          <w:p w14:paraId="48B3F022" w14:textId="77777777" w:rsidR="008E4ACB" w:rsidRPr="00B93729" w:rsidRDefault="005801C2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No procede</w:t>
            </w:r>
          </w:p>
        </w:tc>
      </w:tr>
      <w:tr w:rsidR="00586B8E" w:rsidRPr="00B93729" w14:paraId="78B6524B" w14:textId="77777777" w:rsidTr="00B93729">
        <w:trPr>
          <w:trHeight w:val="825"/>
        </w:trPr>
        <w:tc>
          <w:tcPr>
            <w:tcW w:w="818" w:type="dxa"/>
            <w:hideMark/>
          </w:tcPr>
          <w:p w14:paraId="186C9E6F" w14:textId="77777777" w:rsidR="00586B8E" w:rsidRPr="00B93729" w:rsidRDefault="00586B8E" w:rsidP="00586B8E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117" w:type="dxa"/>
            <w:hideMark/>
          </w:tcPr>
          <w:p w14:paraId="1A06B416" w14:textId="77777777" w:rsidR="00586B8E" w:rsidRPr="00B93729" w:rsidRDefault="00586B8E" w:rsidP="00586B8E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FPOQ/24/2005</w:t>
            </w:r>
          </w:p>
        </w:tc>
        <w:tc>
          <w:tcPr>
            <w:tcW w:w="2416" w:type="dxa"/>
            <w:hideMark/>
          </w:tcPr>
          <w:p w14:paraId="0E376678" w14:textId="77777777" w:rsidR="00586B8E" w:rsidRPr="00B93729" w:rsidRDefault="00586B8E" w:rsidP="00586B8E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Desarrollo de "Atlas Locales de Riesgos Químicos."</w:t>
            </w:r>
          </w:p>
        </w:tc>
        <w:tc>
          <w:tcPr>
            <w:tcW w:w="2174" w:type="dxa"/>
            <w:hideMark/>
          </w:tcPr>
          <w:p w14:paraId="7E62BF17" w14:textId="77777777" w:rsidR="00586B8E" w:rsidRPr="00B93729" w:rsidRDefault="00586B8E" w:rsidP="00586B8E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19 de octubre de 2005</w:t>
            </w:r>
          </w:p>
        </w:tc>
        <w:tc>
          <w:tcPr>
            <w:tcW w:w="4404" w:type="dxa"/>
            <w:hideMark/>
          </w:tcPr>
          <w:p w14:paraId="2D49C9B8" w14:textId="2DC634C6" w:rsidR="00586B8E" w:rsidRPr="00B93729" w:rsidRDefault="00586B8E" w:rsidP="00586B8E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586B8E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Los atlas estatales y municipales están siendo desarrollados por las entidades federativas y </w:t>
            </w:r>
            <w:r w:rsidRPr="00586B8E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lastRenderedPageBreak/>
              <w:t>municipios y el CENAPRED es el encargado de su integración al Atlas Nacional de Riesgos</w:t>
            </w:r>
          </w:p>
        </w:tc>
        <w:tc>
          <w:tcPr>
            <w:tcW w:w="1631" w:type="dxa"/>
            <w:hideMark/>
          </w:tcPr>
          <w:p w14:paraId="02CC7522" w14:textId="59E1E1CC" w:rsidR="00586B8E" w:rsidRPr="00B93729" w:rsidRDefault="00586B8E" w:rsidP="00586B8E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794D12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lastRenderedPageBreak/>
              <w:t>Atendida</w:t>
            </w:r>
          </w:p>
        </w:tc>
      </w:tr>
      <w:tr w:rsidR="000279EC" w:rsidRPr="00B93729" w14:paraId="1AB47277" w14:textId="77777777" w:rsidTr="00B93729">
        <w:trPr>
          <w:trHeight w:val="555"/>
        </w:trPr>
        <w:tc>
          <w:tcPr>
            <w:tcW w:w="818" w:type="dxa"/>
            <w:hideMark/>
          </w:tcPr>
          <w:p w14:paraId="05800941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117" w:type="dxa"/>
            <w:hideMark/>
          </w:tcPr>
          <w:p w14:paraId="1BEFAC5A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FPOQ/25/2005</w:t>
            </w:r>
          </w:p>
        </w:tc>
        <w:tc>
          <w:tcPr>
            <w:tcW w:w="2416" w:type="dxa"/>
            <w:hideMark/>
          </w:tcPr>
          <w:p w14:paraId="54B3B2D7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Manejo Seguro del Gas Natural y Gas LP</w:t>
            </w:r>
          </w:p>
        </w:tc>
        <w:tc>
          <w:tcPr>
            <w:tcW w:w="2174" w:type="dxa"/>
            <w:hideMark/>
          </w:tcPr>
          <w:p w14:paraId="0CE0BA26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09 de noviembre de 2005</w:t>
            </w:r>
          </w:p>
        </w:tc>
        <w:tc>
          <w:tcPr>
            <w:tcW w:w="4404" w:type="dxa"/>
            <w:hideMark/>
          </w:tcPr>
          <w:p w14:paraId="245207B1" w14:textId="77777777" w:rsidR="008E4ACB" w:rsidRPr="00B93729" w:rsidRDefault="008E4ACB" w:rsidP="004C2272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01C2"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Esta recomendación no procede ya que fue eliminada el 12/09/2005 por el CCA Químicos y está contemplada en la recomendación FPOQ/024/2005 y la FPOQ/031/2007.</w:t>
            </w:r>
          </w:p>
        </w:tc>
        <w:tc>
          <w:tcPr>
            <w:tcW w:w="1631" w:type="dxa"/>
            <w:hideMark/>
          </w:tcPr>
          <w:p w14:paraId="79FDDA81" w14:textId="77777777" w:rsidR="008E4ACB" w:rsidRPr="00B93729" w:rsidRDefault="005801C2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No procede</w:t>
            </w:r>
          </w:p>
        </w:tc>
      </w:tr>
      <w:tr w:rsidR="000279EC" w:rsidRPr="00B93729" w14:paraId="60199ED1" w14:textId="77777777" w:rsidTr="00B93729">
        <w:trPr>
          <w:trHeight w:val="1114"/>
        </w:trPr>
        <w:tc>
          <w:tcPr>
            <w:tcW w:w="818" w:type="dxa"/>
            <w:hideMark/>
          </w:tcPr>
          <w:p w14:paraId="1797EC6A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117" w:type="dxa"/>
            <w:hideMark/>
          </w:tcPr>
          <w:p w14:paraId="3A55664A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FPOQ/25/2013</w:t>
            </w:r>
          </w:p>
        </w:tc>
        <w:tc>
          <w:tcPr>
            <w:tcW w:w="2416" w:type="dxa"/>
            <w:hideMark/>
          </w:tcPr>
          <w:p w14:paraId="7941FF2B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Manual de gestión de riesgos en fenómenos químico-tecnológicos. </w:t>
            </w:r>
          </w:p>
        </w:tc>
        <w:tc>
          <w:tcPr>
            <w:tcW w:w="2174" w:type="dxa"/>
            <w:hideMark/>
          </w:tcPr>
          <w:p w14:paraId="73E7101A" w14:textId="77777777" w:rsidR="008E4ACB" w:rsidRPr="00B93729" w:rsidRDefault="008E4ACB" w:rsidP="008E4ACB">
            <w:pPr>
              <w:spacing w:after="240"/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Emitida 09 de noviembre de 2005</w:t>
            </w: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br/>
              <w:t>Actualizada 18 de enero de 2013</w:t>
            </w:r>
          </w:p>
        </w:tc>
        <w:tc>
          <w:tcPr>
            <w:tcW w:w="4404" w:type="dxa"/>
            <w:hideMark/>
          </w:tcPr>
          <w:p w14:paraId="02619C7A" w14:textId="77777777" w:rsidR="008E4ACB" w:rsidRPr="00B93729" w:rsidRDefault="005801C2" w:rsidP="004C2272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Esta recomendación es la misma que la FPOQ/027/2005, por lo tanto no procede porque se duplica.</w:t>
            </w:r>
          </w:p>
        </w:tc>
        <w:tc>
          <w:tcPr>
            <w:tcW w:w="1631" w:type="dxa"/>
            <w:hideMark/>
          </w:tcPr>
          <w:p w14:paraId="75BC9E81" w14:textId="77777777" w:rsidR="008E4ACB" w:rsidRPr="00B93729" w:rsidRDefault="008E4ACB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Cancelada</w:t>
            </w:r>
          </w:p>
        </w:tc>
      </w:tr>
      <w:tr w:rsidR="000279EC" w:rsidRPr="00B93729" w14:paraId="79284C5C" w14:textId="77777777" w:rsidTr="00B93729">
        <w:trPr>
          <w:trHeight w:val="1095"/>
        </w:trPr>
        <w:tc>
          <w:tcPr>
            <w:tcW w:w="818" w:type="dxa"/>
            <w:hideMark/>
          </w:tcPr>
          <w:p w14:paraId="51EEB4AE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117" w:type="dxa"/>
            <w:hideMark/>
          </w:tcPr>
          <w:p w14:paraId="4D96619C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FPOQ/26/2005</w:t>
            </w:r>
          </w:p>
        </w:tc>
        <w:tc>
          <w:tcPr>
            <w:tcW w:w="2416" w:type="dxa"/>
            <w:hideMark/>
          </w:tcPr>
          <w:p w14:paraId="1D2B74D1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Profesionalización de responsables de Protección Civil en riesgos químicos.</w:t>
            </w:r>
          </w:p>
        </w:tc>
        <w:tc>
          <w:tcPr>
            <w:tcW w:w="2174" w:type="dxa"/>
            <w:hideMark/>
          </w:tcPr>
          <w:p w14:paraId="272D32EB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09 de noviembre de 2005</w:t>
            </w:r>
          </w:p>
        </w:tc>
        <w:tc>
          <w:tcPr>
            <w:tcW w:w="4404" w:type="dxa"/>
            <w:hideMark/>
          </w:tcPr>
          <w:p w14:paraId="0C0735AB" w14:textId="77777777" w:rsidR="008E4ACB" w:rsidRPr="00B93729" w:rsidRDefault="00E82CCB" w:rsidP="004C2272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No procede debido a que se duplica con las recomendaciones FPOQ/019/2010 y FPOQ/023/2005</w:t>
            </w:r>
          </w:p>
        </w:tc>
        <w:tc>
          <w:tcPr>
            <w:tcW w:w="1631" w:type="dxa"/>
            <w:hideMark/>
          </w:tcPr>
          <w:p w14:paraId="0BA2A1DD" w14:textId="77777777" w:rsidR="008E4ACB" w:rsidRPr="00B93729" w:rsidRDefault="00E82CCB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No procede</w:t>
            </w:r>
          </w:p>
        </w:tc>
      </w:tr>
      <w:tr w:rsidR="000279EC" w:rsidRPr="00B93729" w14:paraId="4454B51C" w14:textId="77777777" w:rsidTr="00B93729">
        <w:trPr>
          <w:trHeight w:val="1095"/>
        </w:trPr>
        <w:tc>
          <w:tcPr>
            <w:tcW w:w="818" w:type="dxa"/>
            <w:hideMark/>
          </w:tcPr>
          <w:p w14:paraId="1A0664A7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117" w:type="dxa"/>
            <w:hideMark/>
          </w:tcPr>
          <w:p w14:paraId="02501EA2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FPOQ/27/2005</w:t>
            </w:r>
          </w:p>
        </w:tc>
        <w:tc>
          <w:tcPr>
            <w:tcW w:w="2416" w:type="dxa"/>
            <w:hideMark/>
          </w:tcPr>
          <w:p w14:paraId="56B3D6A9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Manual de gestión de riesgos.</w:t>
            </w:r>
          </w:p>
        </w:tc>
        <w:tc>
          <w:tcPr>
            <w:tcW w:w="2174" w:type="dxa"/>
            <w:hideMark/>
          </w:tcPr>
          <w:p w14:paraId="4C3EF8DF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09 de noviembre de 2005</w:t>
            </w:r>
          </w:p>
        </w:tc>
        <w:tc>
          <w:tcPr>
            <w:tcW w:w="4404" w:type="dxa"/>
            <w:hideMark/>
          </w:tcPr>
          <w:p w14:paraId="26DE6DF0" w14:textId="77777777" w:rsidR="008E4ACB" w:rsidRPr="00B93729" w:rsidRDefault="00D175A7" w:rsidP="004C2272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Esta recomendación es la misma que la FPOQ/025/2005, por lo tanto no procede porque se duplica.</w:t>
            </w:r>
          </w:p>
        </w:tc>
        <w:tc>
          <w:tcPr>
            <w:tcW w:w="1631" w:type="dxa"/>
            <w:hideMark/>
          </w:tcPr>
          <w:p w14:paraId="3E2C4B62" w14:textId="77777777" w:rsidR="008E4ACB" w:rsidRPr="00B93729" w:rsidRDefault="00D175A7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No procede</w:t>
            </w:r>
          </w:p>
        </w:tc>
      </w:tr>
      <w:tr w:rsidR="000279EC" w:rsidRPr="00B93729" w14:paraId="04B3DEB5" w14:textId="77777777" w:rsidTr="00B93729">
        <w:trPr>
          <w:trHeight w:val="825"/>
        </w:trPr>
        <w:tc>
          <w:tcPr>
            <w:tcW w:w="818" w:type="dxa"/>
            <w:hideMark/>
          </w:tcPr>
          <w:p w14:paraId="00B4CA18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117" w:type="dxa"/>
            <w:hideMark/>
          </w:tcPr>
          <w:p w14:paraId="32B9A2CE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FPOQ/28/2006</w:t>
            </w:r>
          </w:p>
        </w:tc>
        <w:tc>
          <w:tcPr>
            <w:tcW w:w="2416" w:type="dxa"/>
            <w:hideMark/>
          </w:tcPr>
          <w:p w14:paraId="16A7997F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Evaluación de riesgos de marea roja.</w:t>
            </w:r>
          </w:p>
        </w:tc>
        <w:tc>
          <w:tcPr>
            <w:tcW w:w="2174" w:type="dxa"/>
            <w:hideMark/>
          </w:tcPr>
          <w:p w14:paraId="36B86841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09 de agosto de 2006</w:t>
            </w:r>
          </w:p>
        </w:tc>
        <w:tc>
          <w:tcPr>
            <w:tcW w:w="4404" w:type="dxa"/>
            <w:hideMark/>
          </w:tcPr>
          <w:p w14:paraId="5B844FE7" w14:textId="77777777" w:rsidR="008E4ACB" w:rsidRPr="00B93729" w:rsidRDefault="002616F3" w:rsidP="004C2272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Esta recomendación se redirige ya que en cumplimiento a la Ley, recae en atribuciones de la Secretaría de Salud.</w:t>
            </w:r>
          </w:p>
        </w:tc>
        <w:tc>
          <w:tcPr>
            <w:tcW w:w="1631" w:type="dxa"/>
            <w:hideMark/>
          </w:tcPr>
          <w:p w14:paraId="7DFA419B" w14:textId="77777777" w:rsidR="008E4ACB" w:rsidRPr="00B93729" w:rsidRDefault="002616F3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Se redirige</w:t>
            </w:r>
          </w:p>
        </w:tc>
      </w:tr>
      <w:tr w:rsidR="000279EC" w:rsidRPr="00B93729" w14:paraId="01BD2A33" w14:textId="77777777" w:rsidTr="00B93729">
        <w:trPr>
          <w:trHeight w:val="1554"/>
        </w:trPr>
        <w:tc>
          <w:tcPr>
            <w:tcW w:w="818" w:type="dxa"/>
            <w:hideMark/>
          </w:tcPr>
          <w:p w14:paraId="037381ED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117" w:type="dxa"/>
            <w:hideMark/>
          </w:tcPr>
          <w:p w14:paraId="014C0F1C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FPOQ/29/2013</w:t>
            </w:r>
          </w:p>
        </w:tc>
        <w:tc>
          <w:tcPr>
            <w:tcW w:w="2416" w:type="dxa"/>
            <w:hideMark/>
          </w:tcPr>
          <w:p w14:paraId="5DEC4683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Seguridad en el manejo y almacenamiento de las sustancias químicas que se usan en laboratorios de enseñanza, centros de investigación y restauración.</w:t>
            </w:r>
          </w:p>
        </w:tc>
        <w:tc>
          <w:tcPr>
            <w:tcW w:w="2174" w:type="dxa"/>
            <w:hideMark/>
          </w:tcPr>
          <w:p w14:paraId="4C5A0946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Emitida 13 de septiembre de 2006</w:t>
            </w: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br/>
              <w:t>Actualizada 08 de marzo de 2013</w:t>
            </w:r>
          </w:p>
        </w:tc>
        <w:tc>
          <w:tcPr>
            <w:tcW w:w="4404" w:type="dxa"/>
            <w:hideMark/>
          </w:tcPr>
          <w:p w14:paraId="3522A722" w14:textId="77777777" w:rsidR="008E4ACB" w:rsidRPr="00B93729" w:rsidRDefault="008E4ACB" w:rsidP="004C2272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Se remitió a la CNPC mediante el oficio H00-D.G./0242/2013 el 15 de marzo de 2013 </w:t>
            </w:r>
          </w:p>
        </w:tc>
        <w:tc>
          <w:tcPr>
            <w:tcW w:w="1631" w:type="dxa"/>
            <w:hideMark/>
          </w:tcPr>
          <w:p w14:paraId="0D72A1FD" w14:textId="77777777" w:rsidR="008E4ACB" w:rsidRPr="00B93729" w:rsidRDefault="008E4ACB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Atendida</w:t>
            </w:r>
          </w:p>
        </w:tc>
      </w:tr>
      <w:tr w:rsidR="000279EC" w:rsidRPr="00B93729" w14:paraId="36E5B196" w14:textId="77777777" w:rsidTr="00B93729">
        <w:trPr>
          <w:trHeight w:val="1343"/>
        </w:trPr>
        <w:tc>
          <w:tcPr>
            <w:tcW w:w="818" w:type="dxa"/>
            <w:hideMark/>
          </w:tcPr>
          <w:p w14:paraId="51089E59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lastRenderedPageBreak/>
              <w:t>31</w:t>
            </w:r>
          </w:p>
        </w:tc>
        <w:tc>
          <w:tcPr>
            <w:tcW w:w="2117" w:type="dxa"/>
            <w:hideMark/>
          </w:tcPr>
          <w:p w14:paraId="52AFA289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FPOQ/30/2006</w:t>
            </w:r>
          </w:p>
        </w:tc>
        <w:tc>
          <w:tcPr>
            <w:tcW w:w="2416" w:type="dxa"/>
            <w:hideMark/>
          </w:tcPr>
          <w:p w14:paraId="36FB4952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Requerimientos de Seguridad en Laboratorios que Usen Sustancias Peligrosas en Centros de Enseñanza e Investigación. FUSIONADA CON LA RECOMENDACIÓN FPOQ/29/2013 </w:t>
            </w:r>
          </w:p>
        </w:tc>
        <w:tc>
          <w:tcPr>
            <w:tcW w:w="2174" w:type="dxa"/>
            <w:hideMark/>
          </w:tcPr>
          <w:p w14:paraId="6138A9AD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19 de octubre de 2006</w:t>
            </w:r>
          </w:p>
        </w:tc>
        <w:tc>
          <w:tcPr>
            <w:tcW w:w="4404" w:type="dxa"/>
            <w:hideMark/>
          </w:tcPr>
          <w:p w14:paraId="55D23859" w14:textId="77777777" w:rsidR="008E4ACB" w:rsidRPr="00B93729" w:rsidRDefault="008E4ACB" w:rsidP="004C2272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Mediante el Oficio No. CCARQ/02/2010, del 18 de junio de 2010, se remitió a la CNPC. Posteriormente, la CGPC mediante Oficio No. CGPC/193/2008, del 7 de febrero de 2008, solicita a CENAPRED analizar la viabilidad y requerimientos necesarios para llevar a cabo las recomendaciones.</w:t>
            </w:r>
          </w:p>
        </w:tc>
        <w:tc>
          <w:tcPr>
            <w:tcW w:w="1631" w:type="dxa"/>
            <w:hideMark/>
          </w:tcPr>
          <w:p w14:paraId="7CC89AC0" w14:textId="77777777" w:rsidR="008E4ACB" w:rsidRPr="00B93729" w:rsidRDefault="008E4ACB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Atendida</w:t>
            </w:r>
          </w:p>
        </w:tc>
      </w:tr>
      <w:tr w:rsidR="000279EC" w:rsidRPr="00B93729" w14:paraId="59CDF678" w14:textId="77777777" w:rsidTr="00B93729">
        <w:trPr>
          <w:trHeight w:val="1541"/>
        </w:trPr>
        <w:tc>
          <w:tcPr>
            <w:tcW w:w="818" w:type="dxa"/>
            <w:hideMark/>
          </w:tcPr>
          <w:p w14:paraId="24DA8875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117" w:type="dxa"/>
            <w:hideMark/>
          </w:tcPr>
          <w:p w14:paraId="6EB1B67C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FPOQ/31/2007</w:t>
            </w:r>
          </w:p>
        </w:tc>
        <w:tc>
          <w:tcPr>
            <w:tcW w:w="2416" w:type="dxa"/>
            <w:hideMark/>
          </w:tcPr>
          <w:p w14:paraId="32B2A5EA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Instalaciones subterráneas que contienen materiales peligrosos.</w:t>
            </w:r>
          </w:p>
        </w:tc>
        <w:tc>
          <w:tcPr>
            <w:tcW w:w="2174" w:type="dxa"/>
            <w:hideMark/>
          </w:tcPr>
          <w:p w14:paraId="0A93C705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05 de octubre de 2007</w:t>
            </w:r>
          </w:p>
        </w:tc>
        <w:tc>
          <w:tcPr>
            <w:tcW w:w="4404" w:type="dxa"/>
            <w:hideMark/>
          </w:tcPr>
          <w:p w14:paraId="6246C974" w14:textId="77777777" w:rsidR="008E4ACB" w:rsidRPr="00B93729" w:rsidRDefault="005D347E" w:rsidP="004C2272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La Secretaría de Energía ha publicado diversas normas para el manejo de gas natural y gas LP o por ductos y para otras sustancias; quien ha emitido normas de referencia ha sido PEMEX.</w:t>
            </w:r>
          </w:p>
        </w:tc>
        <w:tc>
          <w:tcPr>
            <w:tcW w:w="1631" w:type="dxa"/>
            <w:hideMark/>
          </w:tcPr>
          <w:p w14:paraId="50AB61A6" w14:textId="77777777" w:rsidR="008E4ACB" w:rsidRPr="00B93729" w:rsidRDefault="005D347E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Atendida</w:t>
            </w:r>
          </w:p>
        </w:tc>
      </w:tr>
      <w:tr w:rsidR="000279EC" w:rsidRPr="00B93729" w14:paraId="230CCA23" w14:textId="77777777" w:rsidTr="00B93729">
        <w:trPr>
          <w:trHeight w:val="983"/>
        </w:trPr>
        <w:tc>
          <w:tcPr>
            <w:tcW w:w="818" w:type="dxa"/>
            <w:hideMark/>
          </w:tcPr>
          <w:p w14:paraId="4D753947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117" w:type="dxa"/>
            <w:hideMark/>
          </w:tcPr>
          <w:p w14:paraId="252330E9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FPOQ/32/2013</w:t>
            </w:r>
          </w:p>
        </w:tc>
        <w:tc>
          <w:tcPr>
            <w:tcW w:w="2416" w:type="dxa"/>
            <w:hideMark/>
          </w:tcPr>
          <w:p w14:paraId="5218257F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Sistema para la investigación de accidentes que involucren sustancias químicas.</w:t>
            </w:r>
          </w:p>
        </w:tc>
        <w:tc>
          <w:tcPr>
            <w:tcW w:w="2174" w:type="dxa"/>
            <w:hideMark/>
          </w:tcPr>
          <w:p w14:paraId="03636497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13 de septiembre de 2013</w:t>
            </w:r>
          </w:p>
        </w:tc>
        <w:tc>
          <w:tcPr>
            <w:tcW w:w="4404" w:type="dxa"/>
            <w:hideMark/>
          </w:tcPr>
          <w:p w14:paraId="1716941A" w14:textId="77777777" w:rsidR="008E4ACB" w:rsidRPr="00B93729" w:rsidRDefault="008E4ACB" w:rsidP="004C2272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Se remitió a la CNPC mediante el oficio H00-D.G./1310/2013, el 17 de octubre de 2013.</w:t>
            </w:r>
          </w:p>
        </w:tc>
        <w:tc>
          <w:tcPr>
            <w:tcW w:w="1631" w:type="dxa"/>
            <w:hideMark/>
          </w:tcPr>
          <w:p w14:paraId="583C7978" w14:textId="3A8D4AC0" w:rsidR="008E4ACB" w:rsidRPr="00B93729" w:rsidRDefault="00B93729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Atendida</w:t>
            </w:r>
          </w:p>
        </w:tc>
      </w:tr>
      <w:tr w:rsidR="000279EC" w:rsidRPr="00B93729" w14:paraId="7EB655D1" w14:textId="77777777" w:rsidTr="00B93729">
        <w:trPr>
          <w:trHeight w:val="1635"/>
        </w:trPr>
        <w:tc>
          <w:tcPr>
            <w:tcW w:w="818" w:type="dxa"/>
            <w:hideMark/>
          </w:tcPr>
          <w:p w14:paraId="3CB35684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117" w:type="dxa"/>
            <w:hideMark/>
          </w:tcPr>
          <w:p w14:paraId="470AC977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FPOQ/33/2013</w:t>
            </w:r>
          </w:p>
        </w:tc>
        <w:tc>
          <w:tcPr>
            <w:tcW w:w="2416" w:type="dxa"/>
            <w:hideMark/>
          </w:tcPr>
          <w:p w14:paraId="03DFA6F6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Generación de biogás en los vertederos de residuos sólidos en operación, clausurados y los que se encuentran en situación de abandono.</w:t>
            </w:r>
          </w:p>
        </w:tc>
        <w:tc>
          <w:tcPr>
            <w:tcW w:w="2174" w:type="dxa"/>
            <w:hideMark/>
          </w:tcPr>
          <w:p w14:paraId="3614DED8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11 de octubre de 2013</w:t>
            </w:r>
          </w:p>
        </w:tc>
        <w:tc>
          <w:tcPr>
            <w:tcW w:w="4404" w:type="dxa"/>
            <w:hideMark/>
          </w:tcPr>
          <w:p w14:paraId="59B5D624" w14:textId="77777777" w:rsidR="008E4ACB" w:rsidRPr="00B93729" w:rsidRDefault="00437730" w:rsidP="004C2272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Esta recomendación se redirige porque en cumplimiento a la Ley, recae en atribuciones de la SEMARNAT, ya que la Ley para la Prevención y Gestión Integral de Residuos atribuye a esta Secretaría el manejo adecuado de residuos sólidos no peligrosos.</w:t>
            </w:r>
          </w:p>
        </w:tc>
        <w:tc>
          <w:tcPr>
            <w:tcW w:w="1631" w:type="dxa"/>
            <w:hideMark/>
          </w:tcPr>
          <w:p w14:paraId="2FE4FC78" w14:textId="77777777" w:rsidR="008E4ACB" w:rsidRPr="00B93729" w:rsidRDefault="008E4ACB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Atendida</w:t>
            </w:r>
          </w:p>
        </w:tc>
      </w:tr>
      <w:tr w:rsidR="000279EC" w:rsidRPr="00B93729" w14:paraId="5B5FFC56" w14:textId="77777777" w:rsidTr="00B93729">
        <w:trPr>
          <w:trHeight w:val="1635"/>
        </w:trPr>
        <w:tc>
          <w:tcPr>
            <w:tcW w:w="818" w:type="dxa"/>
            <w:hideMark/>
          </w:tcPr>
          <w:p w14:paraId="3407250B" w14:textId="77777777" w:rsidR="008E4ACB" w:rsidRPr="00B93729" w:rsidRDefault="008E4ACB" w:rsidP="008E4ACB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117" w:type="dxa"/>
            <w:hideMark/>
          </w:tcPr>
          <w:p w14:paraId="1124E30D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FPOQ/34/2013</w:t>
            </w:r>
          </w:p>
        </w:tc>
        <w:tc>
          <w:tcPr>
            <w:tcW w:w="2416" w:type="dxa"/>
            <w:hideMark/>
          </w:tcPr>
          <w:p w14:paraId="4F272B36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Lineamientos para el correcto manejo de los residuos generados como resultado de desastres naturales o tecnológicos</w:t>
            </w:r>
          </w:p>
        </w:tc>
        <w:tc>
          <w:tcPr>
            <w:tcW w:w="2174" w:type="dxa"/>
            <w:hideMark/>
          </w:tcPr>
          <w:p w14:paraId="2CB18704" w14:textId="77777777" w:rsidR="008E4ACB" w:rsidRPr="00B93729" w:rsidRDefault="008E4ACB" w:rsidP="008E4ACB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08 de noviembre de 2013</w:t>
            </w:r>
          </w:p>
        </w:tc>
        <w:tc>
          <w:tcPr>
            <w:tcW w:w="4404" w:type="dxa"/>
            <w:hideMark/>
          </w:tcPr>
          <w:p w14:paraId="31957A79" w14:textId="77777777" w:rsidR="008E4ACB" w:rsidRPr="00B93729" w:rsidRDefault="008E4ACB" w:rsidP="004C2272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Se remitió a la CNPC mediante el oficio H00-D.G/1437/2013 el 14 de noviembre de 2013.</w:t>
            </w:r>
            <w:r w:rsidR="00E4190F"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 Esta recomendación se redirigió a la SEMARNAT.</w:t>
            </w:r>
          </w:p>
        </w:tc>
        <w:tc>
          <w:tcPr>
            <w:tcW w:w="1631" w:type="dxa"/>
            <w:hideMark/>
          </w:tcPr>
          <w:p w14:paraId="4E883B83" w14:textId="77777777" w:rsidR="008E4ACB" w:rsidRPr="00B93729" w:rsidRDefault="008E4ACB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Atendida</w:t>
            </w:r>
          </w:p>
        </w:tc>
      </w:tr>
      <w:tr w:rsidR="00B93729" w:rsidRPr="00B93729" w14:paraId="5E3B4359" w14:textId="77777777" w:rsidTr="00B93729">
        <w:trPr>
          <w:trHeight w:val="996"/>
        </w:trPr>
        <w:tc>
          <w:tcPr>
            <w:tcW w:w="818" w:type="dxa"/>
            <w:hideMark/>
          </w:tcPr>
          <w:p w14:paraId="0C6050BA" w14:textId="77777777" w:rsidR="00B93729" w:rsidRPr="00B93729" w:rsidRDefault="00B93729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117" w:type="dxa"/>
            <w:hideMark/>
          </w:tcPr>
          <w:p w14:paraId="6605AF1C" w14:textId="77777777" w:rsidR="00B93729" w:rsidRPr="00B93729" w:rsidRDefault="00B93729" w:rsidP="00B93729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FPOQ/06/2016</w:t>
            </w:r>
          </w:p>
        </w:tc>
        <w:tc>
          <w:tcPr>
            <w:tcW w:w="2416" w:type="dxa"/>
            <w:hideMark/>
          </w:tcPr>
          <w:p w14:paraId="031BA037" w14:textId="77777777" w:rsidR="00B93729" w:rsidRPr="00B93729" w:rsidRDefault="00B93729" w:rsidP="00B93729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Grupos de Ayuda mutua industrial</w:t>
            </w:r>
          </w:p>
        </w:tc>
        <w:tc>
          <w:tcPr>
            <w:tcW w:w="2174" w:type="dxa"/>
            <w:hideMark/>
          </w:tcPr>
          <w:p w14:paraId="55DE05B1" w14:textId="77777777" w:rsidR="00B93729" w:rsidRPr="00B93729" w:rsidRDefault="00B93729" w:rsidP="00B93729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10 de junio de 2016</w:t>
            </w:r>
          </w:p>
        </w:tc>
        <w:tc>
          <w:tcPr>
            <w:tcW w:w="4404" w:type="dxa"/>
            <w:hideMark/>
          </w:tcPr>
          <w:p w14:paraId="421428A3" w14:textId="77777777" w:rsidR="00B93729" w:rsidRPr="00B93729" w:rsidRDefault="00B93729" w:rsidP="00B93729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La SEMARNAT a través de la Agencia Nacional de Seguridad Industrial y Protección al Medio Ambiente del Sector Hidrocarburos (ASEA), se publicó en el Diario Oficial de la Federación (22-03-</w:t>
            </w: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2019) las Disposiciones Administrativas de carácter general que establecen los Lineamientos para la elaboración de los protocolos de respuesta a emergencias en las actividades del Sector Hidrocarburos para la conformación de los </w:t>
            </w:r>
            <w:proofErr w:type="spellStart"/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CLAMs</w:t>
            </w:r>
            <w:proofErr w:type="spellEnd"/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14:paraId="0C4A4F69" w14:textId="77777777" w:rsidR="00B93729" w:rsidRDefault="00B93729" w:rsidP="00B93729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Adicionalmente, la PROFEPA promueve a través del Día Nacional de la Preparación y Respuesta a Emergencias Químicas (DINAPREQ) el registro de los </w:t>
            </w:r>
            <w:proofErr w:type="spellStart"/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CLAMs</w:t>
            </w:r>
            <w:proofErr w:type="spellEnd"/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14:paraId="5D5BE30D" w14:textId="77777777" w:rsidR="00586B8E" w:rsidRPr="00586B8E" w:rsidRDefault="00586B8E" w:rsidP="00586B8E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586B8E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La recomendación fue Atendida por el Sector de Hidrocarburos.</w:t>
            </w:r>
          </w:p>
          <w:p w14:paraId="418D3B7C" w14:textId="26A7BEAA" w:rsidR="00586B8E" w:rsidRPr="00B93729" w:rsidRDefault="00586B8E" w:rsidP="00B93729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1" w:type="dxa"/>
            <w:hideMark/>
          </w:tcPr>
          <w:p w14:paraId="622FC8E7" w14:textId="7F5DD6BA" w:rsidR="00B93729" w:rsidRPr="00B93729" w:rsidRDefault="00B93729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794D12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lastRenderedPageBreak/>
              <w:t>Atendida</w:t>
            </w:r>
          </w:p>
        </w:tc>
      </w:tr>
      <w:tr w:rsidR="00B93729" w:rsidRPr="00B93729" w14:paraId="0CAC80CC" w14:textId="77777777" w:rsidTr="00B93729">
        <w:trPr>
          <w:trHeight w:val="2266"/>
        </w:trPr>
        <w:tc>
          <w:tcPr>
            <w:tcW w:w="818" w:type="dxa"/>
            <w:hideMark/>
          </w:tcPr>
          <w:p w14:paraId="229389B9" w14:textId="77777777" w:rsidR="00B93729" w:rsidRPr="00B93729" w:rsidRDefault="00B93729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117" w:type="dxa"/>
            <w:hideMark/>
          </w:tcPr>
          <w:p w14:paraId="11173043" w14:textId="5928555B" w:rsidR="00B93729" w:rsidRPr="00B93729" w:rsidRDefault="00B93729" w:rsidP="00B93729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CCAQ/02/2017**</w:t>
            </w:r>
          </w:p>
        </w:tc>
        <w:tc>
          <w:tcPr>
            <w:tcW w:w="2416" w:type="dxa"/>
            <w:hideMark/>
          </w:tcPr>
          <w:p w14:paraId="41A33AB4" w14:textId="77777777" w:rsidR="00B93729" w:rsidRPr="00B93729" w:rsidRDefault="00B93729" w:rsidP="00B93729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Capacitación y certificación del personal de embarques, tráfico, logística y distribución, respecto a la aplicación de reglamentos y normas aplicables que deben cumplirse durante el almacenamiento, manejo y distribución de los materiales y residuos peligrosos</w:t>
            </w:r>
          </w:p>
        </w:tc>
        <w:tc>
          <w:tcPr>
            <w:tcW w:w="2174" w:type="dxa"/>
            <w:hideMark/>
          </w:tcPr>
          <w:p w14:paraId="2E0FE65B" w14:textId="77777777" w:rsidR="00B93729" w:rsidRPr="00B93729" w:rsidRDefault="00B93729" w:rsidP="00B93729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10 de febrero de 2017</w:t>
            </w:r>
          </w:p>
        </w:tc>
        <w:tc>
          <w:tcPr>
            <w:tcW w:w="4404" w:type="dxa"/>
            <w:hideMark/>
          </w:tcPr>
          <w:p w14:paraId="257B68B8" w14:textId="77777777" w:rsidR="00586B8E" w:rsidRPr="00586B8E" w:rsidRDefault="00B93729" w:rsidP="00586B8E">
            <w:pPr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6B8E" w:rsidRPr="00586B8E">
              <w:rPr>
                <w:rFonts w:ascii="Montserrat" w:eastAsia="Times New Roman" w:hAnsi="Montserrat"/>
                <w:color w:val="000000"/>
                <w:sz w:val="20"/>
                <w:szCs w:val="20"/>
              </w:rPr>
              <w:t>Se revisará nuevamente la recomendación para poder especificar en qué es necesario capacitar al personal de embarques, tráfico, logística y distribución de residuos y materiales peligrosos.</w:t>
            </w:r>
          </w:p>
          <w:p w14:paraId="3304F82B" w14:textId="0A6D173D" w:rsidR="00B93729" w:rsidRPr="00B93729" w:rsidRDefault="00B93729" w:rsidP="00B93729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1" w:type="dxa"/>
            <w:hideMark/>
          </w:tcPr>
          <w:p w14:paraId="60B14B8E" w14:textId="067E0111" w:rsidR="00B93729" w:rsidRPr="00B93729" w:rsidRDefault="00586B8E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794D12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Pendiente*</w:t>
            </w:r>
          </w:p>
        </w:tc>
      </w:tr>
      <w:tr w:rsidR="00B93729" w:rsidRPr="00B93729" w14:paraId="6BCF47DE" w14:textId="77777777" w:rsidTr="00B93729">
        <w:trPr>
          <w:trHeight w:val="132"/>
        </w:trPr>
        <w:tc>
          <w:tcPr>
            <w:tcW w:w="818" w:type="dxa"/>
            <w:hideMark/>
          </w:tcPr>
          <w:p w14:paraId="50D5CF66" w14:textId="77777777" w:rsidR="00B93729" w:rsidRPr="00B93729" w:rsidRDefault="00B93729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117" w:type="dxa"/>
            <w:hideMark/>
          </w:tcPr>
          <w:p w14:paraId="35826C39" w14:textId="77777777" w:rsidR="00B93729" w:rsidRPr="00B93729" w:rsidRDefault="00B93729" w:rsidP="00B93729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RQ (Riesgos Químicos) 2018</w:t>
            </w:r>
          </w:p>
        </w:tc>
        <w:tc>
          <w:tcPr>
            <w:tcW w:w="2416" w:type="dxa"/>
            <w:hideMark/>
          </w:tcPr>
          <w:p w14:paraId="677E9D52" w14:textId="77777777" w:rsidR="00B93729" w:rsidRPr="00B93729" w:rsidRDefault="00B93729" w:rsidP="00B93729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Equipo requerido para atender una emergencia radiológica</w:t>
            </w:r>
          </w:p>
        </w:tc>
        <w:tc>
          <w:tcPr>
            <w:tcW w:w="2174" w:type="dxa"/>
            <w:hideMark/>
          </w:tcPr>
          <w:p w14:paraId="7F665217" w14:textId="77777777" w:rsidR="00B93729" w:rsidRPr="00B93729" w:rsidRDefault="00B93729" w:rsidP="00B93729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11 de mayo de 2018</w:t>
            </w:r>
          </w:p>
        </w:tc>
        <w:tc>
          <w:tcPr>
            <w:tcW w:w="4404" w:type="dxa"/>
            <w:hideMark/>
          </w:tcPr>
          <w:p w14:paraId="13682D80" w14:textId="77777777" w:rsidR="00B93729" w:rsidRPr="00B93729" w:rsidRDefault="00B93729" w:rsidP="00B93729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Se remitió a la Coordinación Nacional de Protección Civil</w:t>
            </w:r>
          </w:p>
        </w:tc>
        <w:tc>
          <w:tcPr>
            <w:tcW w:w="1631" w:type="dxa"/>
            <w:hideMark/>
          </w:tcPr>
          <w:p w14:paraId="1EA645C5" w14:textId="776D69BB" w:rsidR="00B93729" w:rsidRPr="00B93729" w:rsidRDefault="00B93729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Atendida</w:t>
            </w:r>
          </w:p>
        </w:tc>
      </w:tr>
      <w:tr w:rsidR="00B93729" w:rsidRPr="00B93729" w14:paraId="39EA5172" w14:textId="77777777" w:rsidTr="00B93729">
        <w:trPr>
          <w:trHeight w:val="1141"/>
        </w:trPr>
        <w:tc>
          <w:tcPr>
            <w:tcW w:w="818" w:type="dxa"/>
            <w:hideMark/>
          </w:tcPr>
          <w:p w14:paraId="0A04FD6C" w14:textId="77777777" w:rsidR="00B93729" w:rsidRPr="00B93729" w:rsidRDefault="00B93729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117" w:type="dxa"/>
            <w:hideMark/>
          </w:tcPr>
          <w:p w14:paraId="7C7ACFC1" w14:textId="77777777" w:rsidR="00B93729" w:rsidRPr="00B93729" w:rsidRDefault="00B93729" w:rsidP="00B93729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CCA/RQ/01/2019</w:t>
            </w:r>
          </w:p>
        </w:tc>
        <w:tc>
          <w:tcPr>
            <w:tcW w:w="2416" w:type="dxa"/>
            <w:hideMark/>
          </w:tcPr>
          <w:p w14:paraId="0E810FCF" w14:textId="77777777" w:rsidR="00B93729" w:rsidRPr="00B93729" w:rsidRDefault="00B93729" w:rsidP="00B93729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Atención a la problemática del robo de combustible en los ductos de PEMEX e industria privada en México</w:t>
            </w:r>
          </w:p>
        </w:tc>
        <w:tc>
          <w:tcPr>
            <w:tcW w:w="2174" w:type="dxa"/>
            <w:hideMark/>
          </w:tcPr>
          <w:p w14:paraId="084832DF" w14:textId="77777777" w:rsidR="00B93729" w:rsidRPr="00B93729" w:rsidRDefault="00B93729" w:rsidP="00B93729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08 de febrero de 2019</w:t>
            </w:r>
          </w:p>
        </w:tc>
        <w:tc>
          <w:tcPr>
            <w:tcW w:w="4404" w:type="dxa"/>
            <w:hideMark/>
          </w:tcPr>
          <w:p w14:paraId="278ADD64" w14:textId="77777777" w:rsidR="00B93729" w:rsidRPr="00B93729" w:rsidRDefault="00B93729" w:rsidP="00B93729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Se remitió al Coordinador Nacional de Protección Civil, aclarando que no todos los temas cubiertos por la recomendación son competencia de protección civil. </w:t>
            </w:r>
          </w:p>
          <w:p w14:paraId="54D4511A" w14:textId="19AE1AA7" w:rsidR="00B93729" w:rsidRPr="00B93729" w:rsidRDefault="00B93729" w:rsidP="00B93729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Asimismo, se elaboró y envió la nota informativa acerca del Procedimiento general para la atención de fugas o derrames en ductos que transportan sustancias inflamables.</w:t>
            </w:r>
          </w:p>
        </w:tc>
        <w:tc>
          <w:tcPr>
            <w:tcW w:w="1631" w:type="dxa"/>
            <w:hideMark/>
          </w:tcPr>
          <w:p w14:paraId="70384635" w14:textId="54B4A005" w:rsidR="00B93729" w:rsidRPr="00B93729" w:rsidRDefault="00B93729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Atendida</w:t>
            </w:r>
          </w:p>
        </w:tc>
      </w:tr>
      <w:tr w:rsidR="00B93729" w:rsidRPr="00B93729" w14:paraId="1DF05AFF" w14:textId="77777777" w:rsidTr="00B93729">
        <w:trPr>
          <w:trHeight w:val="1365"/>
        </w:trPr>
        <w:tc>
          <w:tcPr>
            <w:tcW w:w="818" w:type="dxa"/>
            <w:hideMark/>
          </w:tcPr>
          <w:p w14:paraId="6D43555B" w14:textId="77777777" w:rsidR="00B93729" w:rsidRPr="00B93729" w:rsidRDefault="00B93729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lastRenderedPageBreak/>
              <w:t>40</w:t>
            </w:r>
          </w:p>
        </w:tc>
        <w:tc>
          <w:tcPr>
            <w:tcW w:w="2117" w:type="dxa"/>
            <w:hideMark/>
          </w:tcPr>
          <w:p w14:paraId="4B2E872F" w14:textId="77777777" w:rsidR="00B93729" w:rsidRPr="00B93729" w:rsidRDefault="00B93729" w:rsidP="00B93729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CCA/RQ/02/2019</w:t>
            </w:r>
          </w:p>
        </w:tc>
        <w:tc>
          <w:tcPr>
            <w:tcW w:w="2416" w:type="dxa"/>
            <w:hideMark/>
          </w:tcPr>
          <w:p w14:paraId="5304EB1E" w14:textId="77777777" w:rsidR="00B93729" w:rsidRPr="00B93729" w:rsidRDefault="00B93729" w:rsidP="00B93729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Medidas Preventivas para la Temporada de lluvias y huracanes en plantas químicas y petroquímicas</w:t>
            </w:r>
          </w:p>
        </w:tc>
        <w:tc>
          <w:tcPr>
            <w:tcW w:w="2174" w:type="dxa"/>
            <w:hideMark/>
          </w:tcPr>
          <w:p w14:paraId="7EBCBDF4" w14:textId="77777777" w:rsidR="00B93729" w:rsidRPr="00B93729" w:rsidRDefault="00B93729" w:rsidP="00B93729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02 de agosto de 2019</w:t>
            </w:r>
          </w:p>
        </w:tc>
        <w:tc>
          <w:tcPr>
            <w:tcW w:w="4404" w:type="dxa"/>
            <w:hideMark/>
          </w:tcPr>
          <w:p w14:paraId="29D0349A" w14:textId="77777777" w:rsidR="00B93729" w:rsidRPr="00B93729" w:rsidRDefault="00B93729" w:rsidP="00B93729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Se remitió a la Coordinación Nacional de Protección Civil</w:t>
            </w:r>
          </w:p>
        </w:tc>
        <w:tc>
          <w:tcPr>
            <w:tcW w:w="1631" w:type="dxa"/>
            <w:hideMark/>
          </w:tcPr>
          <w:p w14:paraId="337EAE45" w14:textId="17C9EDB2" w:rsidR="00B93729" w:rsidRPr="00B93729" w:rsidRDefault="00B93729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Atendida</w:t>
            </w:r>
          </w:p>
        </w:tc>
      </w:tr>
      <w:tr w:rsidR="00B93729" w:rsidRPr="00B93729" w14:paraId="7BADCFAA" w14:textId="77777777" w:rsidTr="00B93729">
        <w:trPr>
          <w:trHeight w:val="1365"/>
        </w:trPr>
        <w:tc>
          <w:tcPr>
            <w:tcW w:w="818" w:type="dxa"/>
            <w:hideMark/>
          </w:tcPr>
          <w:p w14:paraId="28DF9885" w14:textId="77777777" w:rsidR="00B93729" w:rsidRPr="00B93729" w:rsidRDefault="00B93729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117" w:type="dxa"/>
            <w:hideMark/>
          </w:tcPr>
          <w:p w14:paraId="24EADC6B" w14:textId="77777777" w:rsidR="00B93729" w:rsidRPr="00B93729" w:rsidRDefault="00B93729" w:rsidP="00B93729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CCAQ/01/2017 (actualización)</w:t>
            </w:r>
          </w:p>
        </w:tc>
        <w:tc>
          <w:tcPr>
            <w:tcW w:w="2416" w:type="dxa"/>
            <w:hideMark/>
          </w:tcPr>
          <w:p w14:paraId="6116ADE4" w14:textId="77777777" w:rsidR="00B93729" w:rsidRPr="00B93729" w:rsidRDefault="00B93729" w:rsidP="00B93729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Establecimiento de la Estrategia Nacional de Manejo del Fuego en Áreas Forestales y sus colindancias</w:t>
            </w:r>
          </w:p>
        </w:tc>
        <w:tc>
          <w:tcPr>
            <w:tcW w:w="2174" w:type="dxa"/>
            <w:hideMark/>
          </w:tcPr>
          <w:p w14:paraId="3E19E66F" w14:textId="77777777" w:rsidR="00B93729" w:rsidRPr="00B93729" w:rsidRDefault="00B93729" w:rsidP="00B93729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06 de septiembre de 2019</w:t>
            </w:r>
          </w:p>
        </w:tc>
        <w:tc>
          <w:tcPr>
            <w:tcW w:w="4404" w:type="dxa"/>
            <w:hideMark/>
          </w:tcPr>
          <w:p w14:paraId="02AA0BAA" w14:textId="5AB0393B" w:rsidR="00B93729" w:rsidRPr="00B93729" w:rsidRDefault="00B93729" w:rsidP="00B93729">
            <w:pPr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Se envió Oficio y recomendación a las Unidades Estatales de Protección Civil.</w:t>
            </w:r>
          </w:p>
        </w:tc>
        <w:tc>
          <w:tcPr>
            <w:tcW w:w="1631" w:type="dxa"/>
            <w:hideMark/>
          </w:tcPr>
          <w:p w14:paraId="508E3C58" w14:textId="7187EC4A" w:rsidR="00B93729" w:rsidRPr="00A00F04" w:rsidRDefault="00B93729" w:rsidP="00B93729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9372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Atendida</w:t>
            </w:r>
          </w:p>
        </w:tc>
      </w:tr>
    </w:tbl>
    <w:p w14:paraId="5604997A" w14:textId="2AFBA2A6" w:rsidR="00E128BC" w:rsidRDefault="00E128BC" w:rsidP="00DE27DC">
      <w:pPr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es-MX"/>
        </w:rPr>
      </w:pPr>
    </w:p>
    <w:p w14:paraId="46DC8AC5" w14:textId="18CBD0C5" w:rsidR="00586B8E" w:rsidRPr="00586B8E" w:rsidRDefault="00586B8E" w:rsidP="00DE27DC">
      <w:pPr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</w:pPr>
      <w:r w:rsidRPr="00586B8E"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  <w:t xml:space="preserve">Del total de las recomendaciones emitidas por el presente Comité, se tienen contabilizadas un total de </w:t>
      </w:r>
      <w:r w:rsidRPr="00586B8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es-MX"/>
        </w:rPr>
        <w:t>41</w:t>
      </w:r>
      <w:r w:rsidRPr="00586B8E"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  <w:t>, de las cuales:</w:t>
      </w:r>
    </w:p>
    <w:p w14:paraId="4A3EF789" w14:textId="681109B1" w:rsidR="00586B8E" w:rsidRPr="00586B8E" w:rsidRDefault="00586B8E" w:rsidP="00586B8E">
      <w:pPr>
        <w:pStyle w:val="Prrafodelista"/>
        <w:numPr>
          <w:ilvl w:val="0"/>
          <w:numId w:val="1"/>
        </w:numPr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</w:pPr>
      <w:r w:rsidRPr="00586B8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es-MX"/>
        </w:rPr>
        <w:t>22</w:t>
      </w:r>
      <w:r w:rsidRPr="00586B8E"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  <w:t xml:space="preserve"> tienen estatus de </w:t>
      </w:r>
      <w:r w:rsidRPr="00586B8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es-MX"/>
        </w:rPr>
        <w:t>atendidas</w:t>
      </w:r>
      <w:r w:rsidRPr="00586B8E"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  <w:t>,</w:t>
      </w:r>
    </w:p>
    <w:p w14:paraId="70ADCCB3" w14:textId="64EE9428" w:rsidR="00586B8E" w:rsidRPr="00586B8E" w:rsidRDefault="00586B8E" w:rsidP="00586B8E">
      <w:pPr>
        <w:pStyle w:val="Prrafodelista"/>
        <w:numPr>
          <w:ilvl w:val="0"/>
          <w:numId w:val="1"/>
        </w:numPr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</w:pPr>
      <w:r w:rsidRPr="00586B8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es-MX"/>
        </w:rPr>
        <w:t>3</w:t>
      </w:r>
      <w:r w:rsidRPr="00586B8E"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  <w:t xml:space="preserve"> tienen estatus de </w:t>
      </w:r>
      <w:r w:rsidRPr="00586B8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es-MX"/>
        </w:rPr>
        <w:t>canceladas</w:t>
      </w:r>
      <w:r w:rsidRPr="00586B8E"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  <w:t>,</w:t>
      </w:r>
    </w:p>
    <w:p w14:paraId="2FB6AE6E" w14:textId="44FD45AF" w:rsidR="00586B8E" w:rsidRPr="00586B8E" w:rsidRDefault="00586B8E" w:rsidP="00586B8E">
      <w:pPr>
        <w:pStyle w:val="Prrafodelista"/>
        <w:numPr>
          <w:ilvl w:val="0"/>
          <w:numId w:val="1"/>
        </w:numPr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</w:pPr>
      <w:r w:rsidRPr="00586B8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es-MX"/>
        </w:rPr>
        <w:t>5</w:t>
      </w:r>
      <w:r w:rsidRPr="00586B8E"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  <w:t xml:space="preserve"> </w:t>
      </w:r>
      <w:r w:rsidRPr="00586B8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es-MX"/>
        </w:rPr>
        <w:t>se</w:t>
      </w:r>
      <w:r w:rsidRPr="00586B8E"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  <w:t xml:space="preserve"> </w:t>
      </w:r>
      <w:r w:rsidRPr="00586B8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es-MX"/>
        </w:rPr>
        <w:t>redirigieron</w:t>
      </w:r>
      <w:r w:rsidRPr="00586B8E"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  <w:t xml:space="preserve"> a otras Secretarías,</w:t>
      </w:r>
    </w:p>
    <w:p w14:paraId="436718A6" w14:textId="2B3EEF1F" w:rsidR="00586B8E" w:rsidRPr="00586B8E" w:rsidRDefault="00586B8E" w:rsidP="00586B8E">
      <w:pPr>
        <w:pStyle w:val="Prrafodelista"/>
        <w:numPr>
          <w:ilvl w:val="0"/>
          <w:numId w:val="1"/>
        </w:numPr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</w:pPr>
      <w:r w:rsidRPr="00586B8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es-MX"/>
        </w:rPr>
        <w:t>2</w:t>
      </w:r>
      <w:r w:rsidRPr="00586B8E"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  <w:t xml:space="preserve"> están </w:t>
      </w:r>
      <w:r w:rsidRPr="00586B8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es-MX"/>
        </w:rPr>
        <w:t>pendientes</w:t>
      </w:r>
      <w:r w:rsidRPr="00586B8E"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  <w:t xml:space="preserve"> para su revisión,</w:t>
      </w:r>
    </w:p>
    <w:p w14:paraId="28684A89" w14:textId="33B33DAA" w:rsidR="00586B8E" w:rsidRPr="00586B8E" w:rsidRDefault="00586B8E" w:rsidP="00586B8E">
      <w:pPr>
        <w:pStyle w:val="Prrafodelista"/>
        <w:numPr>
          <w:ilvl w:val="0"/>
          <w:numId w:val="1"/>
        </w:numPr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</w:pPr>
      <w:r w:rsidRPr="00586B8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es-MX"/>
        </w:rPr>
        <w:t>7</w:t>
      </w:r>
      <w:r w:rsidRPr="00586B8E"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  <w:t xml:space="preserve"> tienen el estatus de </w:t>
      </w:r>
      <w:r w:rsidRPr="00586B8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es-MX"/>
        </w:rPr>
        <w:t>No proceden</w:t>
      </w:r>
      <w:r w:rsidRPr="00586B8E"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  <w:t xml:space="preserve"> y,</w:t>
      </w:r>
    </w:p>
    <w:p w14:paraId="7E516AAF" w14:textId="64908F06" w:rsidR="00586B8E" w:rsidRPr="00586B8E" w:rsidRDefault="00586B8E" w:rsidP="00586B8E">
      <w:pPr>
        <w:pStyle w:val="Prrafodelista"/>
        <w:numPr>
          <w:ilvl w:val="0"/>
          <w:numId w:val="1"/>
        </w:numPr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</w:pPr>
      <w:r w:rsidRPr="00586B8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es-MX"/>
        </w:rPr>
        <w:t>2</w:t>
      </w:r>
      <w:r w:rsidRPr="00586B8E"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  <w:t xml:space="preserve"> tienen el estatus de </w:t>
      </w:r>
      <w:r w:rsidRPr="00586B8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es-MX"/>
        </w:rPr>
        <w:t>En desarrollo</w:t>
      </w:r>
      <w:r w:rsidRPr="00586B8E"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  <w:t>.</w:t>
      </w:r>
    </w:p>
    <w:p w14:paraId="408E4AE3" w14:textId="77777777" w:rsidR="00586B8E" w:rsidRPr="00586B8E" w:rsidRDefault="00586B8E" w:rsidP="00DE27DC">
      <w:pPr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</w:pPr>
    </w:p>
    <w:sectPr w:rsidR="00586B8E" w:rsidRPr="00586B8E" w:rsidSect="00E128BC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3F548" w14:textId="77777777" w:rsidR="00A83B53" w:rsidRDefault="00A83B53" w:rsidP="00DE27DC">
      <w:pPr>
        <w:spacing w:after="0" w:line="240" w:lineRule="auto"/>
      </w:pPr>
      <w:r>
        <w:separator/>
      </w:r>
    </w:p>
  </w:endnote>
  <w:endnote w:type="continuationSeparator" w:id="0">
    <w:p w14:paraId="6A8D8DB5" w14:textId="77777777" w:rsidR="00A83B53" w:rsidRDefault="00A83B53" w:rsidP="00DE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F40C8" w14:textId="77777777" w:rsidR="00A83B53" w:rsidRDefault="00A83B53" w:rsidP="00DE27DC">
      <w:pPr>
        <w:spacing w:after="0" w:line="240" w:lineRule="auto"/>
      </w:pPr>
      <w:r>
        <w:separator/>
      </w:r>
    </w:p>
  </w:footnote>
  <w:footnote w:type="continuationSeparator" w:id="0">
    <w:p w14:paraId="10D1C951" w14:textId="77777777" w:rsidR="00A83B53" w:rsidRDefault="00A83B53" w:rsidP="00DE2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E6EA" w14:textId="77777777" w:rsidR="00DE27DC" w:rsidRDefault="00DE27DC" w:rsidP="00DE27DC">
    <w:pPr>
      <w:pStyle w:val="Encabezado"/>
      <w:jc w:val="right"/>
    </w:pPr>
    <w:r>
      <w:rPr>
        <w:noProof/>
        <w:lang w:eastAsia="es-MX"/>
      </w:rPr>
      <w:drawing>
        <wp:inline distT="0" distB="0" distL="0" distR="0" wp14:anchorId="10AEB2B5" wp14:editId="190A8A0C">
          <wp:extent cx="4771278" cy="5619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2951" t="23386" r="27111" b="66152"/>
                  <a:stretch/>
                </pic:blipFill>
                <pic:spPr bwMode="auto">
                  <a:xfrm>
                    <a:off x="0" y="0"/>
                    <a:ext cx="4793587" cy="5646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7A7635"/>
    <w:multiLevelType w:val="hybridMultilevel"/>
    <w:tmpl w:val="44C6EB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8BC"/>
    <w:rsid w:val="000279EC"/>
    <w:rsid w:val="00034DBC"/>
    <w:rsid w:val="000B3154"/>
    <w:rsid w:val="000E1355"/>
    <w:rsid w:val="001C47F5"/>
    <w:rsid w:val="002053A5"/>
    <w:rsid w:val="00246C38"/>
    <w:rsid w:val="002616F3"/>
    <w:rsid w:val="002C5377"/>
    <w:rsid w:val="002E71D6"/>
    <w:rsid w:val="00360CF5"/>
    <w:rsid w:val="00371B47"/>
    <w:rsid w:val="003801ED"/>
    <w:rsid w:val="003937CC"/>
    <w:rsid w:val="00437730"/>
    <w:rsid w:val="004472AB"/>
    <w:rsid w:val="004903C3"/>
    <w:rsid w:val="004C2272"/>
    <w:rsid w:val="00502E1D"/>
    <w:rsid w:val="00540EDC"/>
    <w:rsid w:val="005801C2"/>
    <w:rsid w:val="00586B8E"/>
    <w:rsid w:val="00587A7A"/>
    <w:rsid w:val="005A57C0"/>
    <w:rsid w:val="005D347E"/>
    <w:rsid w:val="0065273E"/>
    <w:rsid w:val="00794D12"/>
    <w:rsid w:val="007A3DDF"/>
    <w:rsid w:val="007D04AA"/>
    <w:rsid w:val="007D513E"/>
    <w:rsid w:val="00894804"/>
    <w:rsid w:val="00895AEC"/>
    <w:rsid w:val="008B796A"/>
    <w:rsid w:val="008E4ACB"/>
    <w:rsid w:val="009C26ED"/>
    <w:rsid w:val="009C3C35"/>
    <w:rsid w:val="00A00F04"/>
    <w:rsid w:val="00A013AD"/>
    <w:rsid w:val="00A12B7B"/>
    <w:rsid w:val="00A83B53"/>
    <w:rsid w:val="00B3513A"/>
    <w:rsid w:val="00B93729"/>
    <w:rsid w:val="00BA60E1"/>
    <w:rsid w:val="00C615F0"/>
    <w:rsid w:val="00CA3BBB"/>
    <w:rsid w:val="00CB1A49"/>
    <w:rsid w:val="00D175A7"/>
    <w:rsid w:val="00D64610"/>
    <w:rsid w:val="00DE27DC"/>
    <w:rsid w:val="00E128BC"/>
    <w:rsid w:val="00E22887"/>
    <w:rsid w:val="00E4190F"/>
    <w:rsid w:val="00E4726E"/>
    <w:rsid w:val="00E82CCB"/>
    <w:rsid w:val="00F2360C"/>
    <w:rsid w:val="00F56B02"/>
    <w:rsid w:val="00F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5A2CD"/>
  <w15:chartTrackingRefBased/>
  <w15:docId w15:val="{B2AE2308-9809-4F4E-892C-C80B373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2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E2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27DC"/>
  </w:style>
  <w:style w:type="paragraph" w:styleId="Piedepgina">
    <w:name w:val="footer"/>
    <w:basedOn w:val="Normal"/>
    <w:link w:val="PiedepginaCar"/>
    <w:uiPriority w:val="99"/>
    <w:unhideWhenUsed/>
    <w:rsid w:val="00DE2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27DC"/>
  </w:style>
  <w:style w:type="paragraph" w:styleId="Textodeglobo">
    <w:name w:val="Balloon Text"/>
    <w:basedOn w:val="Normal"/>
    <w:link w:val="TextodegloboCar"/>
    <w:uiPriority w:val="99"/>
    <w:semiHidden/>
    <w:unhideWhenUsed/>
    <w:rsid w:val="008E4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A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8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586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2041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Cerda Silva Maria Fernanda</dc:creator>
  <cp:keywords/>
  <dc:description/>
  <cp:lastModifiedBy>Daniel Gonzalez Hernandez</cp:lastModifiedBy>
  <cp:revision>2</cp:revision>
  <cp:lastPrinted>2020-05-13T14:36:00Z</cp:lastPrinted>
  <dcterms:created xsi:type="dcterms:W3CDTF">2020-06-17T16:06:00Z</dcterms:created>
  <dcterms:modified xsi:type="dcterms:W3CDTF">2020-06-17T16:06:00Z</dcterms:modified>
</cp:coreProperties>
</file>