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D27" w:rsidRPr="0054786E" w:rsidRDefault="00647D27" w:rsidP="006878BA">
      <w:pPr>
        <w:spacing w:after="120" w:line="240" w:lineRule="auto"/>
        <w:jc w:val="both"/>
        <w:rPr>
          <w:rFonts w:ascii="Montserrat" w:hAnsi="Montserrat"/>
        </w:rPr>
      </w:pPr>
      <w:r w:rsidRPr="0054786E">
        <w:rPr>
          <w:rFonts w:ascii="Montserrat" w:hAnsi="Montserrat"/>
          <w:b/>
        </w:rPr>
        <w:t xml:space="preserve">Título de la Recomendación: </w:t>
      </w:r>
      <w:r w:rsidR="00032519" w:rsidRPr="00032519">
        <w:rPr>
          <w:rFonts w:ascii="Montserrat" w:hAnsi="Montserrat"/>
        </w:rPr>
        <w:t>Diagnóstico de la respuesta gubernamental (federal y estatal) ante los sismos del 7 y 19 de septiembre ocurridos en el país</w:t>
      </w:r>
      <w:r w:rsidR="00032519">
        <w:rPr>
          <w:rFonts w:ascii="Montserrat" w:hAnsi="Montserrat"/>
        </w:rPr>
        <w:t>.</w:t>
      </w:r>
    </w:p>
    <w:p w:rsidR="00647D27" w:rsidRPr="0054786E" w:rsidRDefault="00647D27" w:rsidP="006878BA">
      <w:pPr>
        <w:spacing w:after="120" w:line="240" w:lineRule="auto"/>
        <w:jc w:val="both"/>
        <w:rPr>
          <w:rFonts w:ascii="Montserrat" w:hAnsi="Montserrat"/>
        </w:rPr>
      </w:pPr>
      <w:r w:rsidRPr="0054786E">
        <w:rPr>
          <w:rFonts w:ascii="Montserrat" w:hAnsi="Montserrat"/>
          <w:b/>
        </w:rPr>
        <w:t xml:space="preserve">Referencia: </w:t>
      </w:r>
      <w:r w:rsidRPr="0054786E">
        <w:rPr>
          <w:rFonts w:ascii="Montserrat" w:hAnsi="Montserrat"/>
        </w:rPr>
        <w:t>RG</w:t>
      </w:r>
      <w:r w:rsidR="00032519">
        <w:rPr>
          <w:rFonts w:ascii="Montserrat" w:hAnsi="Montserrat"/>
        </w:rPr>
        <w:t>01/2020</w:t>
      </w:r>
    </w:p>
    <w:p w:rsidR="00647D27" w:rsidRPr="0054786E" w:rsidRDefault="00647D27" w:rsidP="006878BA">
      <w:pPr>
        <w:spacing w:after="120" w:line="240" w:lineRule="auto"/>
        <w:jc w:val="both"/>
        <w:rPr>
          <w:rFonts w:ascii="Montserrat" w:hAnsi="Montserrat"/>
          <w:b/>
        </w:rPr>
      </w:pPr>
      <w:r w:rsidRPr="0054786E">
        <w:rPr>
          <w:rFonts w:ascii="Montserrat" w:hAnsi="Montserrat"/>
          <w:b/>
        </w:rPr>
        <w:t xml:space="preserve">Fecha de firma de la recomendación: </w:t>
      </w:r>
      <w:r w:rsidR="00032519">
        <w:rPr>
          <w:rFonts w:ascii="Montserrat" w:hAnsi="Montserrat"/>
        </w:rPr>
        <w:t>En la 47ª Reunión Ordinaria del CCA celebrada el 20 de agosto de 2020.</w:t>
      </w:r>
    </w:p>
    <w:p w:rsidR="00032519" w:rsidRDefault="00647D27" w:rsidP="006878BA">
      <w:pPr>
        <w:spacing w:after="120" w:line="240" w:lineRule="auto"/>
        <w:jc w:val="both"/>
        <w:rPr>
          <w:rFonts w:ascii="Montserrat" w:hAnsi="Montserrat"/>
        </w:rPr>
      </w:pPr>
      <w:r w:rsidRPr="0054786E">
        <w:rPr>
          <w:rFonts w:ascii="Montserrat" w:hAnsi="Montserrat"/>
          <w:b/>
        </w:rPr>
        <w:t xml:space="preserve">Instancia con atribuciones y/o sectores involucrados: </w:t>
      </w:r>
      <w:r w:rsidR="00032519" w:rsidRPr="00032519">
        <w:rPr>
          <w:rFonts w:ascii="Montserrat" w:hAnsi="Montserrat"/>
        </w:rPr>
        <w:t>Todos los integrantes del SINAPROC y del CNE.</w:t>
      </w:r>
    </w:p>
    <w:p w:rsidR="00647D27" w:rsidRDefault="00647D27" w:rsidP="006878BA">
      <w:pPr>
        <w:spacing w:after="120" w:line="240" w:lineRule="auto"/>
        <w:jc w:val="both"/>
        <w:rPr>
          <w:rFonts w:ascii="Montserrat" w:hAnsi="Montserrat"/>
          <w:b/>
        </w:rPr>
      </w:pPr>
      <w:r w:rsidRPr="0054786E">
        <w:rPr>
          <w:rFonts w:ascii="Montserrat" w:hAnsi="Montserrat"/>
          <w:b/>
        </w:rPr>
        <w:t xml:space="preserve">Fases de la Gestión Integral del Riesgo de Desastre en que contribuye: </w:t>
      </w:r>
    </w:p>
    <w:p w:rsidR="00032519" w:rsidRPr="00032519" w:rsidRDefault="00032519" w:rsidP="006878BA">
      <w:pPr>
        <w:spacing w:after="120" w:line="240" w:lineRule="auto"/>
        <w:jc w:val="both"/>
        <w:rPr>
          <w:rFonts w:ascii="Montserrat" w:hAnsi="Montserrat"/>
        </w:rPr>
      </w:pPr>
      <w:r>
        <w:rPr>
          <w:rFonts w:ascii="Montserrat" w:hAnsi="Montserrat"/>
        </w:rPr>
        <w:t>Todas las fases.</w:t>
      </w:r>
    </w:p>
    <w:p w:rsidR="00647D27" w:rsidRPr="0054786E" w:rsidRDefault="00647D27" w:rsidP="006878BA">
      <w:pPr>
        <w:spacing w:after="120" w:line="240" w:lineRule="auto"/>
        <w:jc w:val="both"/>
        <w:rPr>
          <w:rFonts w:ascii="Montserrat" w:hAnsi="Montserrat"/>
        </w:rPr>
      </w:pPr>
      <w:r w:rsidRPr="0054786E">
        <w:rPr>
          <w:rFonts w:ascii="Montserrat" w:hAnsi="Montserrat"/>
          <w:b/>
        </w:rPr>
        <w:t xml:space="preserve">Objetivo de la Recomendación: </w:t>
      </w:r>
      <w:r w:rsidR="00032519" w:rsidRPr="00032519">
        <w:rPr>
          <w:rFonts w:ascii="Montserrat" w:hAnsi="Montserrat"/>
        </w:rPr>
        <w:t>Fortalecer el SINAPROC y su posicionamiento para diseñar y poner en marcha políticas públicas en concordancia con la GIRD para el beneficio de la sociedad en su conjunto.</w:t>
      </w:r>
    </w:p>
    <w:p w:rsidR="00032519" w:rsidRPr="00032519" w:rsidRDefault="00647D27" w:rsidP="00032519">
      <w:pPr>
        <w:spacing w:after="120" w:line="240" w:lineRule="auto"/>
        <w:jc w:val="both"/>
        <w:rPr>
          <w:rFonts w:ascii="Montserrat" w:hAnsi="Montserrat"/>
        </w:rPr>
      </w:pPr>
      <w:r w:rsidRPr="0054786E">
        <w:rPr>
          <w:rFonts w:ascii="Montserrat" w:hAnsi="Montserrat"/>
          <w:b/>
        </w:rPr>
        <w:t xml:space="preserve">Descripción de la Recomendación: </w:t>
      </w:r>
      <w:r w:rsidR="00032519" w:rsidRPr="00032519">
        <w:rPr>
          <w:rFonts w:ascii="Montserrat" w:hAnsi="Montserrat"/>
        </w:rPr>
        <w:t xml:space="preserve">Ante el impacto de los sismos del 7 y 19 de septiembre de 2017 se puso en evidencia la necesidad de hacer una evaluación de los procedimientos con que actuaron las autoridades, así como de los resultados obtenidos una vez concluida la emergencia, en el marco de la estructura existente y del funcionamiento del Sistema Nacional de Protección Civil (SINAPROC). </w:t>
      </w:r>
    </w:p>
    <w:p w:rsidR="00032519" w:rsidRPr="00032519" w:rsidRDefault="00032519" w:rsidP="00032519">
      <w:pPr>
        <w:spacing w:after="120" w:line="240" w:lineRule="auto"/>
        <w:jc w:val="both"/>
        <w:rPr>
          <w:rFonts w:ascii="Montserrat" w:hAnsi="Montserrat"/>
        </w:rPr>
      </w:pPr>
      <w:r w:rsidRPr="00032519">
        <w:rPr>
          <w:rFonts w:ascii="Montserrat" w:hAnsi="Montserrat"/>
        </w:rPr>
        <w:t>(1)</w:t>
      </w:r>
      <w:r w:rsidRPr="00032519">
        <w:rPr>
          <w:rFonts w:ascii="Montserrat" w:hAnsi="Montserrat"/>
        </w:rPr>
        <w:tab/>
        <w:t>Coordinación</w:t>
      </w:r>
    </w:p>
    <w:p w:rsidR="00032519" w:rsidRPr="00032519" w:rsidRDefault="00032519" w:rsidP="00032519">
      <w:pPr>
        <w:spacing w:after="120" w:line="240" w:lineRule="auto"/>
        <w:jc w:val="both"/>
        <w:rPr>
          <w:rFonts w:ascii="Montserrat" w:hAnsi="Montserrat"/>
        </w:rPr>
      </w:pPr>
      <w:r w:rsidRPr="00032519">
        <w:rPr>
          <w:rFonts w:ascii="Montserrat" w:hAnsi="Montserrat"/>
        </w:rPr>
        <w:t>Si bien en la Ley General de Protección Civil se establece que "El Sistema Nacional es un conjunto orgánico y articulado de estructuras, relaciones funcionales, métodos, normas, instancias, principios, instrumentos, políticas, procedimientos, servicios y acciones, que establecen corresponsablemente las dependencias y entidades del sector público entre sí, con las organizaciones de los diversos grupos voluntarios, sociales, privados y con los Poderes Legislativo, Ejecutivo y Judicial, de los organismos constitucionales autónomos, de las entidades federativas, de los municipios y las delegaciones, a fin de efectuar acciones coordinadas, en materia de protección civil", las prácticas desarrolladas durante la fase de emergencia sugieren una insuficiencia en los esquemas de coordinación de las actividades de respuesta de los diferentes ámbitos gubernamentales, considerados como atribuciones de los integrantes del Comité Nacional de Emergencias. Esta situación sugiere que se adolece de mecanismos de articulación de responsabilidades y la clara definición de tareas, especial, aunque no exclusivamente, durante situaciones de emergencia.</w:t>
      </w:r>
    </w:p>
    <w:p w:rsidR="00032519" w:rsidRPr="00032519" w:rsidRDefault="00032519" w:rsidP="00032519">
      <w:pPr>
        <w:spacing w:after="120" w:line="240" w:lineRule="auto"/>
        <w:jc w:val="both"/>
        <w:rPr>
          <w:rFonts w:ascii="Montserrat" w:hAnsi="Montserrat"/>
        </w:rPr>
      </w:pPr>
      <w:r w:rsidRPr="00032519">
        <w:rPr>
          <w:rFonts w:ascii="Montserrat" w:hAnsi="Montserrat"/>
        </w:rPr>
        <w:t>(2)</w:t>
      </w:r>
      <w:r w:rsidRPr="00032519">
        <w:rPr>
          <w:rFonts w:ascii="Montserrat" w:hAnsi="Montserrat"/>
        </w:rPr>
        <w:tab/>
        <w:t>Comunicación</w:t>
      </w:r>
    </w:p>
    <w:p w:rsidR="00032519" w:rsidRPr="00032519" w:rsidRDefault="00032519" w:rsidP="00032519">
      <w:pPr>
        <w:spacing w:after="120" w:line="240" w:lineRule="auto"/>
        <w:jc w:val="both"/>
        <w:rPr>
          <w:rFonts w:ascii="Montserrat" w:hAnsi="Montserrat"/>
        </w:rPr>
      </w:pPr>
      <w:r w:rsidRPr="00032519">
        <w:rPr>
          <w:rFonts w:ascii="Montserrat" w:hAnsi="Montserrat"/>
        </w:rPr>
        <w:t xml:space="preserve">El SINAPROC está constituido por "dependencias y entidades de la administración pública federal, por los sistemas de protección civil de las entidades federativas, sus municipios y las delegaciones; por los grupos voluntarios, vecinales y organizaciones </w:t>
      </w:r>
      <w:r w:rsidRPr="00032519">
        <w:rPr>
          <w:rFonts w:ascii="Montserrat" w:hAnsi="Montserrat"/>
        </w:rPr>
        <w:lastRenderedPageBreak/>
        <w:t>de la sociedad civil, los cuerpos de bomberos, así como por los representantes de los sectores privado y social, los medios de comunicación y los centros de investigación, educación y desarrollo tecnológico." No obstante, adolece de protocolos coordinados de actuación y comunicación que permitan a todos sus integrantes generar, conocer y difundir información oportuna para fortalecer las actividades de respuesta y atender adecuadamente a la población afectada. Especial atención merece el consolidar dichos mecanismos con los centros de investigación, educación y desarrollo tecnológico, así como con la sociedad civil, cuya labor ha sido de suma relevancia durante la emergencia. Es importante señalar que dichos protocolos deberían considerar asimismo la comunicación y coordinación con la Secretaría de Relaciones Exteriores a fin de que la ayuda de expertos internacionales pueda canalizarse y aprovecharse de la mejor forma.</w:t>
      </w:r>
    </w:p>
    <w:p w:rsidR="00032519" w:rsidRPr="00032519" w:rsidRDefault="00032519" w:rsidP="00032519">
      <w:pPr>
        <w:spacing w:after="120" w:line="240" w:lineRule="auto"/>
        <w:jc w:val="both"/>
        <w:rPr>
          <w:rFonts w:ascii="Montserrat" w:hAnsi="Montserrat"/>
        </w:rPr>
      </w:pPr>
      <w:r w:rsidRPr="00032519">
        <w:rPr>
          <w:rFonts w:ascii="Montserrat" w:hAnsi="Montserrat"/>
        </w:rPr>
        <w:t>(3) Perfiles de los integrantes del SINAPROC</w:t>
      </w:r>
    </w:p>
    <w:p w:rsidR="00032519" w:rsidRPr="00032519" w:rsidRDefault="00032519" w:rsidP="00032519">
      <w:pPr>
        <w:spacing w:after="120" w:line="240" w:lineRule="auto"/>
        <w:jc w:val="both"/>
        <w:rPr>
          <w:rFonts w:ascii="Montserrat" w:hAnsi="Montserrat"/>
        </w:rPr>
      </w:pPr>
      <w:r w:rsidRPr="00032519">
        <w:rPr>
          <w:rFonts w:ascii="Montserrat" w:hAnsi="Montserrat"/>
        </w:rPr>
        <w:t>La heterogeneidad en el nivel de preparación y conocimiento de los integrantes que laboran en las distintas dependencias y entidades que constituyen el SINAPROC no es acorde con los requerimientos de la labor específica de la Gestión Integral del Riesgo de Desastre (GIRD). En dicho tenor es necesario llevar a cabo una evaluación de estas inconsistencias y proponer iniciativas acordes para solventarlas con la finalidad de garantizar que los encargados de las tareas vinculadas a la GIRD en los diferentes niveles del gobierno cumplan con los perfiles adecuados, y en consecuencia con sus responsabilidades.</w:t>
      </w:r>
    </w:p>
    <w:p w:rsidR="00032519" w:rsidRPr="00032519" w:rsidRDefault="00032519" w:rsidP="00032519">
      <w:pPr>
        <w:spacing w:after="120" w:line="240" w:lineRule="auto"/>
        <w:jc w:val="both"/>
        <w:rPr>
          <w:rFonts w:ascii="Montserrat" w:hAnsi="Montserrat"/>
        </w:rPr>
      </w:pPr>
      <w:r w:rsidRPr="00032519">
        <w:rPr>
          <w:rFonts w:ascii="Montserrat" w:hAnsi="Montserrat"/>
        </w:rPr>
        <w:t>(4) Esquema reactivo del SINAPROC</w:t>
      </w:r>
    </w:p>
    <w:p w:rsidR="00647D27" w:rsidRPr="0054786E" w:rsidRDefault="00032519" w:rsidP="00032519">
      <w:pPr>
        <w:spacing w:after="120" w:line="240" w:lineRule="auto"/>
        <w:jc w:val="both"/>
        <w:rPr>
          <w:rFonts w:ascii="Montserrat" w:hAnsi="Montserrat"/>
        </w:rPr>
      </w:pPr>
      <w:r w:rsidRPr="00032519">
        <w:rPr>
          <w:rFonts w:ascii="Montserrat" w:hAnsi="Montserrat"/>
        </w:rPr>
        <w:t>Si bien el marco normativo del SINAPROC se posiciona en la perspectiva de la GIRD, la práctica muestra  una labor enmarcada en un esquema reactivo, más que preventivo o de manejo del riesgo. Es entonces conveniente realizar un análisis que permita identificar las fortalezas, debilidades y necesidades del SINAPROC con miras a concretar su transformación en un sistema sólido, transversal y eficiente, cuyo objetivo central sea el manejo del riesgo de desastres y no así el de las emergencias.</w:t>
      </w:r>
    </w:p>
    <w:p w:rsidR="00647D27" w:rsidRPr="0054786E" w:rsidRDefault="00032519" w:rsidP="006878BA">
      <w:pPr>
        <w:spacing w:after="120" w:line="240" w:lineRule="auto"/>
        <w:jc w:val="both"/>
        <w:rPr>
          <w:rFonts w:ascii="Montserrat" w:hAnsi="Montserrat"/>
        </w:rPr>
      </w:pPr>
      <w:r>
        <w:rPr>
          <w:rFonts w:ascii="Montserrat" w:hAnsi="Montserrat"/>
          <w:b/>
        </w:rPr>
        <w:t>Alcances de la</w:t>
      </w:r>
      <w:r w:rsidR="00647D27" w:rsidRPr="0054786E">
        <w:rPr>
          <w:rFonts w:ascii="Montserrat" w:hAnsi="Montserrat"/>
          <w:b/>
        </w:rPr>
        <w:t xml:space="preserve"> recomendación:</w:t>
      </w:r>
      <w:r w:rsidR="00647D27" w:rsidRPr="0054786E">
        <w:rPr>
          <w:rFonts w:ascii="Montserrat" w:hAnsi="Montserrat"/>
        </w:rPr>
        <w:t xml:space="preserve"> </w:t>
      </w:r>
      <w:r w:rsidRPr="00032519">
        <w:rPr>
          <w:rFonts w:ascii="Montserrat" w:hAnsi="Montserrat"/>
        </w:rPr>
        <w:t>Con base en la evaluación de las fortalezas, debilidades y necesidades del SINAPROC derivadas de las lecciones de los sismos de septiembre de 2017 será posible establecer estrategias e iniciativas que coadyuven a cristalizar el enfoque de la GIRD en la toma de decisiones, la</w:t>
      </w:r>
      <w:r>
        <w:rPr>
          <w:rFonts w:ascii="Montserrat" w:hAnsi="Montserrat"/>
        </w:rPr>
        <w:t xml:space="preserve"> política pública y la práctica</w:t>
      </w:r>
      <w:r w:rsidR="00647D27" w:rsidRPr="0054786E">
        <w:rPr>
          <w:rFonts w:ascii="Montserrat" w:hAnsi="Montserrat"/>
        </w:rPr>
        <w:t>.</w:t>
      </w:r>
    </w:p>
    <w:p w:rsidR="00647D27" w:rsidRPr="0054786E" w:rsidRDefault="00647D27" w:rsidP="006878BA">
      <w:pPr>
        <w:spacing w:after="120" w:line="240" w:lineRule="auto"/>
        <w:jc w:val="both"/>
        <w:rPr>
          <w:rFonts w:ascii="Montserrat" w:hAnsi="Montserrat"/>
        </w:rPr>
      </w:pPr>
      <w:r w:rsidRPr="0054786E">
        <w:rPr>
          <w:rFonts w:ascii="Montserrat" w:hAnsi="Montserrat"/>
          <w:b/>
        </w:rPr>
        <w:t xml:space="preserve">Impacto de la recomendación en la sociedad: </w:t>
      </w:r>
      <w:r w:rsidR="00032519" w:rsidRPr="00032519">
        <w:rPr>
          <w:rFonts w:ascii="Montserrat" w:hAnsi="Montserrat"/>
          <w:highlight w:val="yellow"/>
        </w:rPr>
        <w:t>Pendiente</w:t>
      </w:r>
      <w:r w:rsidRPr="0054786E">
        <w:rPr>
          <w:rFonts w:ascii="Montserrat" w:hAnsi="Montserrat"/>
        </w:rPr>
        <w:t xml:space="preserve">. </w:t>
      </w:r>
    </w:p>
    <w:p w:rsidR="00647D27" w:rsidRPr="0054786E" w:rsidRDefault="00647D27" w:rsidP="006878BA">
      <w:pPr>
        <w:spacing w:after="120" w:line="240" w:lineRule="auto"/>
        <w:jc w:val="both"/>
        <w:rPr>
          <w:rFonts w:ascii="Montserrat" w:hAnsi="Montserrat"/>
          <w:b/>
        </w:rPr>
      </w:pPr>
      <w:r w:rsidRPr="0054786E">
        <w:rPr>
          <w:rFonts w:ascii="Montserrat" w:hAnsi="Montserrat"/>
          <w:b/>
        </w:rPr>
        <w:t>Acciones concretas para el cumplimiento de la recomendación y está se dé por atendida:</w:t>
      </w:r>
    </w:p>
    <w:p w:rsidR="00032519" w:rsidRPr="00032519" w:rsidRDefault="00032519" w:rsidP="00032519">
      <w:pPr>
        <w:spacing w:after="120" w:line="240" w:lineRule="auto"/>
        <w:jc w:val="both"/>
        <w:rPr>
          <w:rFonts w:ascii="Montserrat" w:hAnsi="Montserrat"/>
        </w:rPr>
      </w:pPr>
      <w:r w:rsidRPr="00032519">
        <w:rPr>
          <w:rFonts w:ascii="Montserrat" w:hAnsi="Montserrat"/>
        </w:rPr>
        <w:lastRenderedPageBreak/>
        <w:t>Documentación del análisis de las fortalezas, debilidades y necesidades del SINAPROC.</w:t>
      </w:r>
    </w:p>
    <w:p w:rsidR="00032519" w:rsidRDefault="00032519" w:rsidP="00032519">
      <w:pPr>
        <w:spacing w:after="120" w:line="240" w:lineRule="auto"/>
        <w:jc w:val="both"/>
        <w:rPr>
          <w:rFonts w:ascii="Montserrat" w:hAnsi="Montserrat"/>
        </w:rPr>
      </w:pPr>
      <w:r w:rsidRPr="00032519">
        <w:rPr>
          <w:rFonts w:ascii="Montserrat" w:hAnsi="Montserrat"/>
        </w:rPr>
        <w:t>Propuestas específicas de estrategias de transformación en correspondencia con la documentación del análisis solicitado.</w:t>
      </w:r>
    </w:p>
    <w:p w:rsidR="00032519" w:rsidRDefault="0070131C" w:rsidP="00032519">
      <w:pPr>
        <w:spacing w:after="120" w:line="240" w:lineRule="auto"/>
        <w:jc w:val="both"/>
        <w:rPr>
          <w:rFonts w:ascii="Montserrat" w:hAnsi="Montserrat"/>
        </w:rPr>
      </w:pPr>
      <w:r w:rsidRPr="0054786E">
        <w:rPr>
          <w:rFonts w:ascii="Montserrat" w:hAnsi="Montserrat"/>
          <w:b/>
        </w:rPr>
        <w:t xml:space="preserve">Anexo a la Recomendación: </w:t>
      </w:r>
    </w:p>
    <w:p w:rsidR="00032519" w:rsidRPr="00032519" w:rsidRDefault="00032519" w:rsidP="00032519">
      <w:pPr>
        <w:spacing w:after="120" w:line="240" w:lineRule="auto"/>
        <w:jc w:val="both"/>
        <w:rPr>
          <w:rFonts w:ascii="Montserrat" w:hAnsi="Montserrat"/>
        </w:rPr>
      </w:pPr>
      <w:r w:rsidRPr="00032519">
        <w:rPr>
          <w:rFonts w:ascii="Montserrat" w:hAnsi="Montserrat"/>
        </w:rPr>
        <w:t>Diagnóstico para la identificación de fortalezas, debilidades y necesidades</w:t>
      </w:r>
    </w:p>
    <w:p w:rsidR="00032519" w:rsidRPr="00032519" w:rsidRDefault="00032519" w:rsidP="00032519">
      <w:pPr>
        <w:spacing w:after="120" w:line="240" w:lineRule="auto"/>
        <w:jc w:val="both"/>
        <w:rPr>
          <w:rFonts w:ascii="Montserrat" w:hAnsi="Montserrat"/>
        </w:rPr>
      </w:pPr>
      <w:r w:rsidRPr="00032519">
        <w:rPr>
          <w:rFonts w:ascii="Montserrat" w:hAnsi="Montserrat"/>
        </w:rPr>
        <w:t>Fortalezas</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 xml:space="preserve">Autoridades federales responden oportunamente ante la ocurrencia de </w:t>
      </w:r>
      <w:bookmarkStart w:id="0" w:name="_GoBack"/>
      <w:bookmarkEnd w:id="0"/>
      <w:r w:rsidRPr="00032519">
        <w:rPr>
          <w:rFonts w:ascii="Montserrat" w:hAnsi="Montserrat"/>
        </w:rPr>
        <w:t>un sismo de gran magnitud (7 de septiembre), instalando de inmediato el  Comité Nacional de Emergencias (CNE)</w:t>
      </w:r>
    </w:p>
    <w:p w:rsidR="00032519" w:rsidRPr="00032519" w:rsidRDefault="00032519" w:rsidP="00032519">
      <w:pPr>
        <w:spacing w:after="120" w:line="240" w:lineRule="auto"/>
        <w:ind w:firstLine="708"/>
        <w:jc w:val="both"/>
        <w:rPr>
          <w:rFonts w:ascii="Montserrat" w:hAnsi="Montserrat"/>
        </w:rPr>
      </w:pPr>
      <w:r w:rsidRPr="00032519">
        <w:rPr>
          <w:rFonts w:ascii="Montserrat" w:hAnsi="Montserrat"/>
        </w:rPr>
        <w:t>•</w:t>
      </w:r>
      <w:r w:rsidRPr="00032519">
        <w:rPr>
          <w:rFonts w:ascii="Montserrat" w:hAnsi="Montserrat"/>
        </w:rPr>
        <w:tab/>
        <w:t>El CNE muestra un buen nivel de organización y operación</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Las dependencias federales, participantes en el CNE, mantienen el interés y desempeño adecuado</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Los medios de comunicación son atendidos en el seno del CNE, diseminando información oportunamente</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La UNAM y el CENAPRED colaboran para habilitar estudiantes que realizan visitas de inspección. Coordinación de investigadores de ambas instituciones colaboran para realizar inspecciones de campo</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Coordinación de autoridades federales en la zona epicentral para la atención de la emergencia</w:t>
      </w:r>
    </w:p>
    <w:p w:rsidR="00032519" w:rsidRPr="00032519" w:rsidRDefault="00032519" w:rsidP="00032519">
      <w:pPr>
        <w:spacing w:after="120" w:line="240" w:lineRule="auto"/>
        <w:jc w:val="both"/>
        <w:rPr>
          <w:rFonts w:ascii="Montserrat" w:hAnsi="Montserrat"/>
        </w:rPr>
      </w:pPr>
      <w:r w:rsidRPr="00032519">
        <w:rPr>
          <w:rFonts w:ascii="Montserrat" w:hAnsi="Montserrat"/>
        </w:rPr>
        <w:t>Debilidades</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Comunicación escasa entre autoridades de Protección Civil de la CdMx y el CENAPRED</w:t>
      </w:r>
    </w:p>
    <w:p w:rsidR="00032519" w:rsidRPr="00032519" w:rsidRDefault="00032519" w:rsidP="00032519">
      <w:pPr>
        <w:spacing w:after="120" w:line="240" w:lineRule="auto"/>
        <w:ind w:firstLine="708"/>
        <w:jc w:val="both"/>
        <w:rPr>
          <w:rFonts w:ascii="Montserrat" w:hAnsi="Montserrat"/>
        </w:rPr>
      </w:pPr>
      <w:r w:rsidRPr="00032519">
        <w:rPr>
          <w:rFonts w:ascii="Montserrat" w:hAnsi="Montserrat"/>
        </w:rPr>
        <w:t>•</w:t>
      </w:r>
      <w:r w:rsidRPr="00032519">
        <w:rPr>
          <w:rFonts w:ascii="Montserrat" w:hAnsi="Montserrat"/>
        </w:rPr>
        <w:tab/>
        <w:t>PC de la CdMx no responde a la convocatoria del CNE</w:t>
      </w:r>
    </w:p>
    <w:p w:rsidR="00032519" w:rsidRPr="00032519" w:rsidRDefault="00032519" w:rsidP="00032519">
      <w:pPr>
        <w:spacing w:after="120" w:line="240" w:lineRule="auto"/>
        <w:ind w:left="705"/>
        <w:jc w:val="both"/>
        <w:rPr>
          <w:rFonts w:ascii="Montserrat" w:hAnsi="Montserrat"/>
        </w:rPr>
      </w:pPr>
      <w:r w:rsidRPr="00032519">
        <w:rPr>
          <w:rFonts w:ascii="Montserrat" w:hAnsi="Montserrat"/>
        </w:rPr>
        <w:t>•</w:t>
      </w:r>
      <w:r w:rsidRPr="00032519">
        <w:rPr>
          <w:rFonts w:ascii="Montserrat" w:hAnsi="Montserrat"/>
        </w:rPr>
        <w:tab/>
        <w:t>Prevalece el esquema reactivo en las unidades estatales y municipales de PC</w:t>
      </w:r>
    </w:p>
    <w:p w:rsidR="00032519" w:rsidRPr="00032519" w:rsidRDefault="00032519" w:rsidP="00032519">
      <w:pPr>
        <w:spacing w:after="120" w:line="240" w:lineRule="auto"/>
        <w:ind w:left="705"/>
        <w:jc w:val="both"/>
        <w:rPr>
          <w:rFonts w:ascii="Montserrat" w:hAnsi="Montserrat"/>
        </w:rPr>
      </w:pPr>
      <w:r w:rsidRPr="00032519">
        <w:rPr>
          <w:rFonts w:ascii="Montserrat" w:hAnsi="Montserrat"/>
        </w:rPr>
        <w:t>•</w:t>
      </w:r>
      <w:r w:rsidRPr="00032519">
        <w:rPr>
          <w:rFonts w:ascii="Montserrat" w:hAnsi="Montserrat"/>
        </w:rPr>
        <w:tab/>
        <w:t>Las delegaciones de la CdMx presentan grandes carencias en cuanto a labores preventivas y reactivas. Su nivel de coordinación interdelegacional y con la Secretaría de PC es bajo</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Rotación frecuente de funcionarios de PC en estados y municipios. La experiencia y capacitación recibida por parte del CENAPRED e instituciones educativas, se pierde</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lastRenderedPageBreak/>
        <w:t>•</w:t>
      </w:r>
      <w:r w:rsidRPr="00032519">
        <w:rPr>
          <w:rFonts w:ascii="Montserrat" w:hAnsi="Montserrat"/>
        </w:rPr>
        <w:tab/>
        <w:t>Los titulares de las dependencias federales y estatales desconocen la normatividad (o son omisos) respecto a contar con un Dictamen de Seguridad Estructural por parte de un Director Responsable de Obra o un Corresponsable en Seguridad Estructural</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Escasa coordinación entre dependencias para aprovechar la ayuda de inspectores de seguridad estructural de otros países</w:t>
      </w:r>
    </w:p>
    <w:p w:rsidR="00032519" w:rsidRPr="00032519" w:rsidRDefault="00032519" w:rsidP="00032519">
      <w:pPr>
        <w:spacing w:after="120" w:line="240" w:lineRule="auto"/>
        <w:jc w:val="both"/>
        <w:rPr>
          <w:rFonts w:ascii="Montserrat" w:hAnsi="Montserrat"/>
        </w:rPr>
      </w:pPr>
      <w:r w:rsidRPr="00032519">
        <w:rPr>
          <w:rFonts w:ascii="Montserrat" w:hAnsi="Montserrat"/>
        </w:rPr>
        <w:t>Necesidades</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Labor permanente en favor de la capacitación de titulares estatales y municipales para privilegiar el esquema preventivo</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Definir el marco legal para la participación de estudiantes e investigadores en las inspecciones post-sismo</w:t>
      </w:r>
    </w:p>
    <w:p w:rsidR="00032519" w:rsidRPr="00032519"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Establecer protocolos de comunicación Secretaría de Relaciones Exteriores-CdMx-Coordinación Nacional de Protección Civil, para aprovechar de manera óptima la colaboración de inspectores internacionales</w:t>
      </w:r>
    </w:p>
    <w:p w:rsidR="008E6D21" w:rsidRDefault="00032519" w:rsidP="00032519">
      <w:pPr>
        <w:spacing w:after="120" w:line="240" w:lineRule="auto"/>
        <w:ind w:left="708"/>
        <w:jc w:val="both"/>
        <w:rPr>
          <w:rFonts w:ascii="Montserrat" w:hAnsi="Montserrat"/>
        </w:rPr>
      </w:pPr>
      <w:r w:rsidRPr="00032519">
        <w:rPr>
          <w:rFonts w:ascii="Montserrat" w:hAnsi="Montserrat"/>
        </w:rPr>
        <w:t>•</w:t>
      </w:r>
      <w:r w:rsidRPr="00032519">
        <w:rPr>
          <w:rFonts w:ascii="Montserrat" w:hAnsi="Montserrat"/>
        </w:rPr>
        <w:tab/>
        <w:t>Establecer esquemas de capacitación para voluntarios y líderes de comunidades, no sólo para las inspecciones post-sismo, atención de la emergencia, sino para realizar labores de inspección pre-sismo, preparación y de diseminación d</w:t>
      </w:r>
      <w:r>
        <w:rPr>
          <w:rFonts w:ascii="Montserrat" w:hAnsi="Montserrat"/>
        </w:rPr>
        <w:t>e información entre la población</w:t>
      </w:r>
      <w:r w:rsidR="0070131C" w:rsidRPr="0054786E">
        <w:rPr>
          <w:rFonts w:ascii="Montserrat" w:eastAsia="Arial Unicode MS" w:hAnsi="Montserrat" w:cs="Arial"/>
          <w:lang w:val="es-ES_tradnl"/>
        </w:rPr>
        <w:t>.</w:t>
      </w:r>
    </w:p>
    <w:sectPr w:rsidR="008E6D21" w:rsidSect="001E718F">
      <w:headerReference w:type="default" r:id="rId8"/>
      <w:footerReference w:type="default" r:id="rId9"/>
      <w:pgSz w:w="12240" w:h="15840" w:code="1"/>
      <w:pgMar w:top="1418" w:right="1418" w:bottom="709"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8A0" w:rsidRDefault="00F778A0" w:rsidP="00A8105E">
      <w:r>
        <w:separator/>
      </w:r>
    </w:p>
  </w:endnote>
  <w:endnote w:type="continuationSeparator" w:id="0">
    <w:p w:rsidR="00F778A0" w:rsidRDefault="00F778A0" w:rsidP="00A8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rekaSans-Light">
    <w:panose1 w:val="00000000000000000000"/>
    <w:charset w:val="00"/>
    <w:family w:val="modern"/>
    <w:notTrueType/>
    <w:pitch w:val="variable"/>
    <w:sig w:usb0="00000003" w:usb1="00000000" w:usb2="00000000" w:usb3="00000000" w:csb0="00000001" w:csb1="00000000"/>
  </w:font>
  <w:font w:name="NewsGoth BT">
    <w:panose1 w:val="020B0503020203020204"/>
    <w:charset w:val="00"/>
    <w:family w:val="swiss"/>
    <w:pitch w:val="variable"/>
    <w:sig w:usb0="00000087" w:usb1="00000000" w:usb2="00000000" w:usb3="00000000" w:csb0="0000001B" w:csb1="00000000"/>
  </w:font>
  <w:font w:name="Albertus Medium">
    <w:panose1 w:val="020E0602030304020304"/>
    <w:charset w:val="00"/>
    <w:family w:val="swiss"/>
    <w:pitch w:val="variable"/>
    <w:sig w:usb0="00000003" w:usb1="00000000" w:usb2="00000000" w:usb3="00000000" w:csb0="00000001" w:csb1="00000000"/>
  </w:font>
  <w:font w:name="Helvetica-Normal">
    <w:altName w:val="Times New Roman"/>
    <w:panose1 w:val="00000000000000000000"/>
    <w:charset w:val="00"/>
    <w:family w:val="auto"/>
    <w:pitch w:val="variable"/>
    <w:sig w:usb0="00000087" w:usb1="00000000" w:usb2="00000000" w:usb3="00000000" w:csb0="0000001B" w:csb1="00000000"/>
  </w:font>
  <w:font w:name="Montserrat">
    <w:altName w:val="Montserrat Light"/>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1658885633"/>
      <w:docPartObj>
        <w:docPartGallery w:val="Page Numbers (Bottom of Page)"/>
        <w:docPartUnique/>
      </w:docPartObj>
    </w:sdtPr>
    <w:sdtEndPr/>
    <w:sdtContent>
      <w:p w:rsidR="006A1468" w:rsidRPr="008E6D21" w:rsidRDefault="006A1468" w:rsidP="006426EC">
        <w:pPr>
          <w:pStyle w:val="Piedepgina"/>
          <w:rPr>
            <w:rFonts w:ascii="Montserrat" w:hAnsi="Montserrat"/>
            <w:sz w:val="16"/>
            <w:szCs w:val="16"/>
          </w:rPr>
        </w:pPr>
        <w:r w:rsidRPr="008E6D21">
          <w:rPr>
            <w:rFonts w:ascii="Montserrat" w:hAnsi="Montserrat"/>
            <w:b/>
            <w:sz w:val="16"/>
            <w:szCs w:val="16"/>
          </w:rPr>
          <w:t xml:space="preserve"> </w:t>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sz w:val="16"/>
            <w:szCs w:val="16"/>
          </w:rPr>
          <w:fldChar w:fldCharType="begin"/>
        </w:r>
        <w:r w:rsidRPr="008E6D21">
          <w:rPr>
            <w:rFonts w:ascii="Montserrat" w:hAnsi="Montserrat"/>
            <w:sz w:val="16"/>
            <w:szCs w:val="16"/>
          </w:rPr>
          <w:instrText>PAGE   \* MERGEFORMAT</w:instrText>
        </w:r>
        <w:r w:rsidRPr="008E6D21">
          <w:rPr>
            <w:rFonts w:ascii="Montserrat" w:hAnsi="Montserrat"/>
            <w:sz w:val="16"/>
            <w:szCs w:val="16"/>
          </w:rPr>
          <w:fldChar w:fldCharType="separate"/>
        </w:r>
        <w:r w:rsidR="00032519">
          <w:rPr>
            <w:rFonts w:ascii="Montserrat" w:hAnsi="Montserrat"/>
            <w:noProof/>
            <w:sz w:val="16"/>
            <w:szCs w:val="16"/>
          </w:rPr>
          <w:t>3</w:t>
        </w:r>
        <w:r w:rsidRPr="008E6D21">
          <w:rPr>
            <w:rFonts w:ascii="Montserrat" w:hAnsi="Montserrat"/>
            <w:sz w:val="16"/>
            <w:szCs w:val="16"/>
          </w:rPr>
          <w:fldChar w:fldCharType="end"/>
        </w:r>
      </w:p>
    </w:sdtContent>
  </w:sdt>
  <w:p w:rsidR="008E6D21" w:rsidRPr="008E6D21" w:rsidRDefault="008E6D21"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Av. Delfín Madrigal No. 665, C</w:t>
    </w:r>
    <w:r w:rsidR="001C0A32">
      <w:rPr>
        <w:rFonts w:ascii="Montserrat" w:hAnsi="Montserrat"/>
        <w:sz w:val="16"/>
        <w:szCs w:val="16"/>
      </w:rPr>
      <w:t>ol. Pedregal de Santo Domingo, Alcaldía</w:t>
    </w:r>
    <w:r w:rsidRPr="008E6D21">
      <w:rPr>
        <w:rFonts w:ascii="Montserrat" w:hAnsi="Montserrat"/>
        <w:sz w:val="16"/>
        <w:szCs w:val="16"/>
      </w:rPr>
      <w:t xml:space="preserve"> Coyoacán</w:t>
    </w:r>
  </w:p>
  <w:p w:rsidR="008E6D21" w:rsidRPr="008E6D21" w:rsidRDefault="008E6D21"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 xml:space="preserve">Ciudad de México, C.P. 04360, Tel. 52+(55) 5424 6100, </w:t>
    </w:r>
    <w:hyperlink r:id="rId1" w:history="1">
      <w:r w:rsidRPr="008E6D21">
        <w:rPr>
          <w:rStyle w:val="Hipervnculo"/>
          <w:rFonts w:ascii="Montserrat" w:hAnsi="Montserrat"/>
          <w:sz w:val="16"/>
          <w:szCs w:val="16"/>
        </w:rPr>
        <w:t>www.gob.mx/cenapred</w:t>
      </w:r>
    </w:hyperlink>
    <w:r w:rsidRPr="008E6D21">
      <w:rPr>
        <w:rFonts w:ascii="Montserrat" w:hAnsi="Montserrat"/>
        <w:sz w:val="16"/>
        <w:szCs w:val="16"/>
      </w:rPr>
      <w:t xml:space="preserve"> </w:t>
    </w:r>
  </w:p>
  <w:p w:rsidR="008E6D21" w:rsidRPr="008E6D21" w:rsidRDefault="00F778A0" w:rsidP="008E6D21">
    <w:pPr>
      <w:pStyle w:val="Piedepgina"/>
      <w:spacing w:before="120" w:after="120" w:line="240" w:lineRule="auto"/>
      <w:jc w:val="center"/>
      <w:rPr>
        <w:rFonts w:ascii="Montserrat" w:hAnsi="Montserrat"/>
        <w:sz w:val="16"/>
        <w:szCs w:val="16"/>
      </w:rPr>
    </w:pPr>
    <w:sdt>
      <w:sdtPr>
        <w:rPr>
          <w:rFonts w:ascii="Montserrat" w:hAnsi="Montserrat"/>
          <w:sz w:val="16"/>
          <w:szCs w:val="16"/>
        </w:rPr>
        <w:id w:val="-1743258593"/>
        <w:docPartObj>
          <w:docPartGallery w:val="Page Numbers (Bottom of Page)"/>
          <w:docPartUnique/>
        </w:docPartObj>
      </w:sdtPr>
      <w:sdtEndPr/>
      <w:sdtContent>
        <w:sdt>
          <w:sdtPr>
            <w:rPr>
              <w:rFonts w:ascii="Montserrat" w:hAnsi="Montserrat"/>
              <w:sz w:val="16"/>
              <w:szCs w:val="16"/>
            </w:rPr>
            <w:id w:val="-1564784608"/>
            <w:docPartObj>
              <w:docPartGallery w:val="Page Numbers (Top of Page)"/>
              <w:docPartUnique/>
            </w:docPartObj>
          </w:sdtPr>
          <w:sdtEndPr/>
          <w:sdtContent>
            <w:r w:rsidR="008E6D21" w:rsidRPr="008E6D21">
              <w:rPr>
                <w:rFonts w:ascii="Montserrat" w:hAnsi="Montserrat"/>
                <w:sz w:val="16"/>
                <w:szCs w:val="16"/>
              </w:rPr>
              <w:t xml:space="preserve">Página </w:t>
            </w:r>
            <w:r w:rsidR="008E6D21" w:rsidRPr="008E6D21">
              <w:rPr>
                <w:rFonts w:ascii="Montserrat" w:hAnsi="Montserrat"/>
                <w:bCs/>
                <w:sz w:val="16"/>
                <w:szCs w:val="16"/>
              </w:rPr>
              <w:fldChar w:fldCharType="begin"/>
            </w:r>
            <w:r w:rsidR="008E6D21" w:rsidRPr="008E6D21">
              <w:rPr>
                <w:rFonts w:ascii="Montserrat" w:hAnsi="Montserrat"/>
                <w:bCs/>
                <w:sz w:val="16"/>
                <w:szCs w:val="16"/>
              </w:rPr>
              <w:instrText>PAGE</w:instrText>
            </w:r>
            <w:r w:rsidR="008E6D21" w:rsidRPr="008E6D21">
              <w:rPr>
                <w:rFonts w:ascii="Montserrat" w:hAnsi="Montserrat"/>
                <w:bCs/>
                <w:sz w:val="16"/>
                <w:szCs w:val="16"/>
              </w:rPr>
              <w:fldChar w:fldCharType="separate"/>
            </w:r>
            <w:r w:rsidR="00032519">
              <w:rPr>
                <w:rFonts w:ascii="Montserrat" w:hAnsi="Montserrat"/>
                <w:bCs/>
                <w:noProof/>
                <w:sz w:val="16"/>
                <w:szCs w:val="16"/>
              </w:rPr>
              <w:t>3</w:t>
            </w:r>
            <w:r w:rsidR="008E6D21" w:rsidRPr="008E6D21">
              <w:rPr>
                <w:rFonts w:ascii="Montserrat" w:hAnsi="Montserrat"/>
                <w:bCs/>
                <w:sz w:val="16"/>
                <w:szCs w:val="16"/>
              </w:rPr>
              <w:fldChar w:fldCharType="end"/>
            </w:r>
            <w:r w:rsidR="008E6D21" w:rsidRPr="008E6D21">
              <w:rPr>
                <w:rFonts w:ascii="Montserrat" w:hAnsi="Montserrat"/>
                <w:sz w:val="16"/>
                <w:szCs w:val="16"/>
              </w:rPr>
              <w:t xml:space="preserve"> de </w:t>
            </w:r>
            <w:r w:rsidR="008E6D21" w:rsidRPr="008E6D21">
              <w:rPr>
                <w:rFonts w:ascii="Montserrat" w:hAnsi="Montserrat"/>
                <w:bCs/>
                <w:sz w:val="16"/>
                <w:szCs w:val="16"/>
              </w:rPr>
              <w:fldChar w:fldCharType="begin"/>
            </w:r>
            <w:r w:rsidR="008E6D21" w:rsidRPr="008E6D21">
              <w:rPr>
                <w:rFonts w:ascii="Montserrat" w:hAnsi="Montserrat"/>
                <w:bCs/>
                <w:sz w:val="16"/>
                <w:szCs w:val="16"/>
              </w:rPr>
              <w:instrText>NUMPAGES</w:instrText>
            </w:r>
            <w:r w:rsidR="008E6D21" w:rsidRPr="008E6D21">
              <w:rPr>
                <w:rFonts w:ascii="Montserrat" w:hAnsi="Montserrat"/>
                <w:bCs/>
                <w:sz w:val="16"/>
                <w:szCs w:val="16"/>
              </w:rPr>
              <w:fldChar w:fldCharType="separate"/>
            </w:r>
            <w:r w:rsidR="00032519">
              <w:rPr>
                <w:rFonts w:ascii="Montserrat" w:hAnsi="Montserrat"/>
                <w:bCs/>
                <w:noProof/>
                <w:sz w:val="16"/>
                <w:szCs w:val="16"/>
              </w:rPr>
              <w:t>4</w:t>
            </w:r>
            <w:r w:rsidR="008E6D21" w:rsidRPr="008E6D21">
              <w:rPr>
                <w:rFonts w:ascii="Montserrat" w:hAnsi="Montserrat"/>
                <w:bCs/>
                <w:sz w:val="16"/>
                <w:szCs w:val="16"/>
              </w:rPr>
              <w:fldChar w:fldCharType="end"/>
            </w:r>
          </w:sdtContent>
        </w:sdt>
      </w:sdtContent>
    </w:sdt>
  </w:p>
  <w:p w:rsidR="006A1468" w:rsidRPr="008E6D21" w:rsidRDefault="006A1468" w:rsidP="008E6D21">
    <w:pPr>
      <w:pStyle w:val="Piedepgina"/>
      <w:tabs>
        <w:tab w:val="clear" w:pos="4419"/>
        <w:tab w:val="clear" w:pos="8838"/>
        <w:tab w:val="left" w:pos="2680"/>
      </w:tabs>
      <w:rPr>
        <w:rFonts w:ascii="Montserrat" w:hAnsi="Montserra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8A0" w:rsidRDefault="00F778A0" w:rsidP="00A8105E">
      <w:r>
        <w:separator/>
      </w:r>
    </w:p>
  </w:footnote>
  <w:footnote w:type="continuationSeparator" w:id="0">
    <w:p w:rsidR="00F778A0" w:rsidRDefault="00F778A0" w:rsidP="00A8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6E" w:rsidRDefault="007F76D9" w:rsidP="009B2481">
    <w:pPr>
      <w:pStyle w:val="Encabezado"/>
      <w:spacing w:line="240" w:lineRule="exact"/>
      <w:jc w:val="center"/>
      <w:rPr>
        <w:rFonts w:ascii="Montserrat" w:hAnsi="Montserrat"/>
        <w:b/>
      </w:rPr>
    </w:pPr>
    <w:r w:rsidRPr="00CF5F07">
      <w:rPr>
        <w:rFonts w:ascii="Montserrat" w:hAnsi="Montserrat" w:cs="Arial"/>
        <w:b/>
        <w:noProof/>
        <w:color w:val="7F7F7F"/>
        <w:sz w:val="20"/>
        <w:lang w:eastAsia="es-MX"/>
      </w:rPr>
      <w:drawing>
        <wp:anchor distT="0" distB="0" distL="114300" distR="114300" simplePos="0" relativeHeight="251659264" behindDoc="0" locked="0" layoutInCell="1" allowOverlap="1" wp14:anchorId="7F5D28FD" wp14:editId="33FA61DB">
          <wp:simplePos x="0" y="0"/>
          <wp:positionH relativeFrom="column">
            <wp:posOffset>0</wp:posOffset>
          </wp:positionH>
          <wp:positionV relativeFrom="paragraph">
            <wp:posOffset>253365</wp:posOffset>
          </wp:positionV>
          <wp:extent cx="6024880" cy="46672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p>
  <w:p w:rsidR="001C0A32" w:rsidRDefault="001C0A32" w:rsidP="009B2481">
    <w:pPr>
      <w:pStyle w:val="Encabezado"/>
      <w:spacing w:line="240" w:lineRule="exact"/>
      <w:jc w:val="center"/>
      <w:rPr>
        <w:rFonts w:ascii="Montserrat" w:hAnsi="Montserrat"/>
        <w:b/>
      </w:rPr>
    </w:pPr>
  </w:p>
  <w:p w:rsidR="0048720D" w:rsidRDefault="006A1468" w:rsidP="009B2481">
    <w:pPr>
      <w:pStyle w:val="Encabezado"/>
      <w:spacing w:line="240" w:lineRule="exact"/>
      <w:jc w:val="center"/>
      <w:rPr>
        <w:rFonts w:ascii="Montserrat" w:hAnsi="Montserrat"/>
        <w:b/>
      </w:rPr>
    </w:pPr>
    <w:r w:rsidRPr="0054786E">
      <w:rPr>
        <w:rFonts w:ascii="Montserrat" w:hAnsi="Montserrat"/>
        <w:b/>
      </w:rPr>
      <w:t>Comité Científico Asesor del Sistema Nacional de Protección Civil</w:t>
    </w:r>
    <w:r w:rsidR="00032519">
      <w:rPr>
        <w:rFonts w:ascii="Montserrat" w:hAnsi="Montserrat"/>
        <w:b/>
      </w:rPr>
      <w:t xml:space="preserve"> </w:t>
    </w:r>
    <w:r w:rsidR="009B2481" w:rsidRPr="0054786E">
      <w:rPr>
        <w:rFonts w:ascii="Montserrat" w:hAnsi="Montserrat"/>
        <w:b/>
      </w:rPr>
      <w:t xml:space="preserve">sobre Fenómenos de Carácter </w:t>
    </w:r>
    <w:r w:rsidR="00032519">
      <w:rPr>
        <w:rFonts w:ascii="Montserrat" w:hAnsi="Montserrat"/>
        <w:b/>
      </w:rPr>
      <w:t>Geológicos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5682F"/>
    <w:multiLevelType w:val="hybridMultilevel"/>
    <w:tmpl w:val="3B42B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5640BA"/>
    <w:multiLevelType w:val="hybridMultilevel"/>
    <w:tmpl w:val="B4EEBEB0"/>
    <w:lvl w:ilvl="0" w:tplc="080A0001">
      <w:start w:val="1"/>
      <w:numFmt w:val="bullet"/>
      <w:lvlText w:val=""/>
      <w:lvlJc w:val="left"/>
      <w:pPr>
        <w:ind w:left="116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495F4F"/>
    <w:multiLevelType w:val="hybridMultilevel"/>
    <w:tmpl w:val="416E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5D2187"/>
    <w:multiLevelType w:val="hybridMultilevel"/>
    <w:tmpl w:val="BF165A7A"/>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4" w15:restartNumberingAfterBreak="0">
    <w:nsid w:val="7AC933DF"/>
    <w:multiLevelType w:val="hybridMultilevel"/>
    <w:tmpl w:val="76029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34"/>
    <w:rsid w:val="0000176F"/>
    <w:rsid w:val="00003D9A"/>
    <w:rsid w:val="00007429"/>
    <w:rsid w:val="000108D7"/>
    <w:rsid w:val="00014FCF"/>
    <w:rsid w:val="00015720"/>
    <w:rsid w:val="00016A8D"/>
    <w:rsid w:val="0002056D"/>
    <w:rsid w:val="000219F8"/>
    <w:rsid w:val="000228E9"/>
    <w:rsid w:val="000269EF"/>
    <w:rsid w:val="00032519"/>
    <w:rsid w:val="0003786A"/>
    <w:rsid w:val="00041713"/>
    <w:rsid w:val="00051033"/>
    <w:rsid w:val="000537E1"/>
    <w:rsid w:val="00055A66"/>
    <w:rsid w:val="00057D0D"/>
    <w:rsid w:val="00062044"/>
    <w:rsid w:val="00066F22"/>
    <w:rsid w:val="000706D7"/>
    <w:rsid w:val="0007421D"/>
    <w:rsid w:val="00074838"/>
    <w:rsid w:val="000765D2"/>
    <w:rsid w:val="00083B61"/>
    <w:rsid w:val="0009336A"/>
    <w:rsid w:val="000A06E3"/>
    <w:rsid w:val="000A1AA3"/>
    <w:rsid w:val="000A33EA"/>
    <w:rsid w:val="000A3D1D"/>
    <w:rsid w:val="000B22E5"/>
    <w:rsid w:val="000B3711"/>
    <w:rsid w:val="000B3D3E"/>
    <w:rsid w:val="000B7F0E"/>
    <w:rsid w:val="000C0E61"/>
    <w:rsid w:val="000C22E2"/>
    <w:rsid w:val="000C3AD7"/>
    <w:rsid w:val="000D06C0"/>
    <w:rsid w:val="000D172C"/>
    <w:rsid w:val="000D293C"/>
    <w:rsid w:val="000D33C7"/>
    <w:rsid w:val="000D56B1"/>
    <w:rsid w:val="000E0583"/>
    <w:rsid w:val="000E34AE"/>
    <w:rsid w:val="000E4FA6"/>
    <w:rsid w:val="000E6412"/>
    <w:rsid w:val="000F04C6"/>
    <w:rsid w:val="000F2F9A"/>
    <w:rsid w:val="000F3E66"/>
    <w:rsid w:val="000F64F2"/>
    <w:rsid w:val="000F7E38"/>
    <w:rsid w:val="0010137F"/>
    <w:rsid w:val="00101A64"/>
    <w:rsid w:val="00101DA2"/>
    <w:rsid w:val="00104F99"/>
    <w:rsid w:val="001151C0"/>
    <w:rsid w:val="00122A7C"/>
    <w:rsid w:val="00123E58"/>
    <w:rsid w:val="001343F3"/>
    <w:rsid w:val="00141AB1"/>
    <w:rsid w:val="001420F1"/>
    <w:rsid w:val="00146006"/>
    <w:rsid w:val="0015340E"/>
    <w:rsid w:val="001569E9"/>
    <w:rsid w:val="00161B2F"/>
    <w:rsid w:val="001671BD"/>
    <w:rsid w:val="00173397"/>
    <w:rsid w:val="00174C54"/>
    <w:rsid w:val="00192BC9"/>
    <w:rsid w:val="00195DA1"/>
    <w:rsid w:val="0019693F"/>
    <w:rsid w:val="001A3CDF"/>
    <w:rsid w:val="001B64F3"/>
    <w:rsid w:val="001C0A32"/>
    <w:rsid w:val="001C6D1F"/>
    <w:rsid w:val="001D0189"/>
    <w:rsid w:val="001D61D3"/>
    <w:rsid w:val="001E429D"/>
    <w:rsid w:val="001E718F"/>
    <w:rsid w:val="001E7AE6"/>
    <w:rsid w:val="001F41A9"/>
    <w:rsid w:val="00202B02"/>
    <w:rsid w:val="00202E86"/>
    <w:rsid w:val="0020406B"/>
    <w:rsid w:val="002065FF"/>
    <w:rsid w:val="002126AA"/>
    <w:rsid w:val="00213252"/>
    <w:rsid w:val="0021424D"/>
    <w:rsid w:val="00217CA8"/>
    <w:rsid w:val="002204C7"/>
    <w:rsid w:val="00221940"/>
    <w:rsid w:val="00226956"/>
    <w:rsid w:val="002302FF"/>
    <w:rsid w:val="00231148"/>
    <w:rsid w:val="002328FC"/>
    <w:rsid w:val="00235315"/>
    <w:rsid w:val="00244012"/>
    <w:rsid w:val="0025561A"/>
    <w:rsid w:val="00260FF4"/>
    <w:rsid w:val="002624A6"/>
    <w:rsid w:val="002630AC"/>
    <w:rsid w:val="00267F89"/>
    <w:rsid w:val="002705EC"/>
    <w:rsid w:val="00273682"/>
    <w:rsid w:val="00273CE2"/>
    <w:rsid w:val="00282537"/>
    <w:rsid w:val="00282820"/>
    <w:rsid w:val="0028530B"/>
    <w:rsid w:val="00292EF2"/>
    <w:rsid w:val="00293726"/>
    <w:rsid w:val="002949C7"/>
    <w:rsid w:val="002959CB"/>
    <w:rsid w:val="002A1977"/>
    <w:rsid w:val="002A1EEF"/>
    <w:rsid w:val="002A3B0D"/>
    <w:rsid w:val="002A5B36"/>
    <w:rsid w:val="002A5F70"/>
    <w:rsid w:val="002B157D"/>
    <w:rsid w:val="002B41FE"/>
    <w:rsid w:val="002B568D"/>
    <w:rsid w:val="002C0548"/>
    <w:rsid w:val="002C30EB"/>
    <w:rsid w:val="002C3593"/>
    <w:rsid w:val="002D2D3B"/>
    <w:rsid w:val="002D6EC1"/>
    <w:rsid w:val="002D79F9"/>
    <w:rsid w:val="002E2EBC"/>
    <w:rsid w:val="002F1CCC"/>
    <w:rsid w:val="002F3297"/>
    <w:rsid w:val="002F3CB2"/>
    <w:rsid w:val="00302641"/>
    <w:rsid w:val="00304566"/>
    <w:rsid w:val="00315447"/>
    <w:rsid w:val="00316604"/>
    <w:rsid w:val="00321186"/>
    <w:rsid w:val="00322D2E"/>
    <w:rsid w:val="0032509C"/>
    <w:rsid w:val="00326E04"/>
    <w:rsid w:val="00326E1E"/>
    <w:rsid w:val="00327360"/>
    <w:rsid w:val="003368E6"/>
    <w:rsid w:val="00341326"/>
    <w:rsid w:val="00341878"/>
    <w:rsid w:val="00342FA8"/>
    <w:rsid w:val="003431D6"/>
    <w:rsid w:val="00344034"/>
    <w:rsid w:val="00346AB3"/>
    <w:rsid w:val="003577C8"/>
    <w:rsid w:val="00363122"/>
    <w:rsid w:val="0036449B"/>
    <w:rsid w:val="0036461D"/>
    <w:rsid w:val="003676A5"/>
    <w:rsid w:val="0036790D"/>
    <w:rsid w:val="0037114F"/>
    <w:rsid w:val="00371CFA"/>
    <w:rsid w:val="003736A6"/>
    <w:rsid w:val="003754B9"/>
    <w:rsid w:val="00375B6B"/>
    <w:rsid w:val="003763F9"/>
    <w:rsid w:val="00376A64"/>
    <w:rsid w:val="003846D0"/>
    <w:rsid w:val="00386702"/>
    <w:rsid w:val="00391C4F"/>
    <w:rsid w:val="003A2E59"/>
    <w:rsid w:val="003A4443"/>
    <w:rsid w:val="003A6F9D"/>
    <w:rsid w:val="003C4AC5"/>
    <w:rsid w:val="003C54F8"/>
    <w:rsid w:val="003C6374"/>
    <w:rsid w:val="003E259F"/>
    <w:rsid w:val="003E2963"/>
    <w:rsid w:val="003F0CCC"/>
    <w:rsid w:val="003F3F18"/>
    <w:rsid w:val="003F5C4D"/>
    <w:rsid w:val="00400268"/>
    <w:rsid w:val="00403879"/>
    <w:rsid w:val="004051F7"/>
    <w:rsid w:val="00405F77"/>
    <w:rsid w:val="004167FD"/>
    <w:rsid w:val="00420479"/>
    <w:rsid w:val="00420A77"/>
    <w:rsid w:val="004228EB"/>
    <w:rsid w:val="00425D37"/>
    <w:rsid w:val="00432754"/>
    <w:rsid w:val="00433E65"/>
    <w:rsid w:val="0044097C"/>
    <w:rsid w:val="00445059"/>
    <w:rsid w:val="00452147"/>
    <w:rsid w:val="00453452"/>
    <w:rsid w:val="00454CC7"/>
    <w:rsid w:val="00465A40"/>
    <w:rsid w:val="00467399"/>
    <w:rsid w:val="00483E99"/>
    <w:rsid w:val="00486554"/>
    <w:rsid w:val="0048720D"/>
    <w:rsid w:val="00487543"/>
    <w:rsid w:val="00493F02"/>
    <w:rsid w:val="00494792"/>
    <w:rsid w:val="00495989"/>
    <w:rsid w:val="0049747C"/>
    <w:rsid w:val="004A48CF"/>
    <w:rsid w:val="004A4E7C"/>
    <w:rsid w:val="004A7217"/>
    <w:rsid w:val="004A721D"/>
    <w:rsid w:val="004B5905"/>
    <w:rsid w:val="004C0C4F"/>
    <w:rsid w:val="004C2A33"/>
    <w:rsid w:val="004D3804"/>
    <w:rsid w:val="004D5D45"/>
    <w:rsid w:val="004E1358"/>
    <w:rsid w:val="004E7523"/>
    <w:rsid w:val="004E78AE"/>
    <w:rsid w:val="004F0F33"/>
    <w:rsid w:val="004F5595"/>
    <w:rsid w:val="004F772C"/>
    <w:rsid w:val="004F7936"/>
    <w:rsid w:val="00510978"/>
    <w:rsid w:val="0051312C"/>
    <w:rsid w:val="00513AC8"/>
    <w:rsid w:val="00513D25"/>
    <w:rsid w:val="00514371"/>
    <w:rsid w:val="00515A7F"/>
    <w:rsid w:val="0051698E"/>
    <w:rsid w:val="00517765"/>
    <w:rsid w:val="00517B20"/>
    <w:rsid w:val="005257C7"/>
    <w:rsid w:val="00527A0E"/>
    <w:rsid w:val="00530305"/>
    <w:rsid w:val="00533737"/>
    <w:rsid w:val="00534B98"/>
    <w:rsid w:val="00540B21"/>
    <w:rsid w:val="0054334A"/>
    <w:rsid w:val="00544469"/>
    <w:rsid w:val="00547044"/>
    <w:rsid w:val="0054786E"/>
    <w:rsid w:val="00555467"/>
    <w:rsid w:val="0055597A"/>
    <w:rsid w:val="00565027"/>
    <w:rsid w:val="005662B9"/>
    <w:rsid w:val="00570274"/>
    <w:rsid w:val="005706E4"/>
    <w:rsid w:val="00573CA9"/>
    <w:rsid w:val="00574AD8"/>
    <w:rsid w:val="00581F7C"/>
    <w:rsid w:val="00590A5A"/>
    <w:rsid w:val="00590A83"/>
    <w:rsid w:val="005933A6"/>
    <w:rsid w:val="00594A8C"/>
    <w:rsid w:val="005973CE"/>
    <w:rsid w:val="005A4EBE"/>
    <w:rsid w:val="005B5C91"/>
    <w:rsid w:val="005C0393"/>
    <w:rsid w:val="005C5AA6"/>
    <w:rsid w:val="005E6082"/>
    <w:rsid w:val="005E7279"/>
    <w:rsid w:val="005F01D5"/>
    <w:rsid w:val="005F1956"/>
    <w:rsid w:val="005F1C3B"/>
    <w:rsid w:val="005F2724"/>
    <w:rsid w:val="005F361B"/>
    <w:rsid w:val="00603827"/>
    <w:rsid w:val="0060488C"/>
    <w:rsid w:val="00604F40"/>
    <w:rsid w:val="00606A15"/>
    <w:rsid w:val="00606CC3"/>
    <w:rsid w:val="00617417"/>
    <w:rsid w:val="00617989"/>
    <w:rsid w:val="00624838"/>
    <w:rsid w:val="00625304"/>
    <w:rsid w:val="00625A3A"/>
    <w:rsid w:val="00625F20"/>
    <w:rsid w:val="00636F87"/>
    <w:rsid w:val="006426EC"/>
    <w:rsid w:val="00645B8E"/>
    <w:rsid w:val="00647D27"/>
    <w:rsid w:val="00650C84"/>
    <w:rsid w:val="006521F8"/>
    <w:rsid w:val="00663885"/>
    <w:rsid w:val="006638B6"/>
    <w:rsid w:val="00664326"/>
    <w:rsid w:val="00667B47"/>
    <w:rsid w:val="0067201B"/>
    <w:rsid w:val="0067507C"/>
    <w:rsid w:val="0067640F"/>
    <w:rsid w:val="00682303"/>
    <w:rsid w:val="006847C8"/>
    <w:rsid w:val="0068566D"/>
    <w:rsid w:val="006878BA"/>
    <w:rsid w:val="0069092B"/>
    <w:rsid w:val="00691E00"/>
    <w:rsid w:val="00695E51"/>
    <w:rsid w:val="006A1468"/>
    <w:rsid w:val="006A4492"/>
    <w:rsid w:val="006A45F6"/>
    <w:rsid w:val="006A5E18"/>
    <w:rsid w:val="006A6BE5"/>
    <w:rsid w:val="006A7665"/>
    <w:rsid w:val="006B198B"/>
    <w:rsid w:val="006B1997"/>
    <w:rsid w:val="006B19B5"/>
    <w:rsid w:val="006B623D"/>
    <w:rsid w:val="006C3B55"/>
    <w:rsid w:val="006C6197"/>
    <w:rsid w:val="006E38CA"/>
    <w:rsid w:val="006E77DA"/>
    <w:rsid w:val="006E7F1E"/>
    <w:rsid w:val="006F2A3C"/>
    <w:rsid w:val="006F6FA4"/>
    <w:rsid w:val="0070131C"/>
    <w:rsid w:val="00701D7A"/>
    <w:rsid w:val="0070230A"/>
    <w:rsid w:val="00703A8A"/>
    <w:rsid w:val="00704083"/>
    <w:rsid w:val="007071DA"/>
    <w:rsid w:val="00710D87"/>
    <w:rsid w:val="007113DD"/>
    <w:rsid w:val="0072112D"/>
    <w:rsid w:val="00724001"/>
    <w:rsid w:val="00725D69"/>
    <w:rsid w:val="007338F2"/>
    <w:rsid w:val="00737183"/>
    <w:rsid w:val="00737D97"/>
    <w:rsid w:val="0074012B"/>
    <w:rsid w:val="00754ED9"/>
    <w:rsid w:val="00755D8B"/>
    <w:rsid w:val="007601F6"/>
    <w:rsid w:val="007612B8"/>
    <w:rsid w:val="007644EE"/>
    <w:rsid w:val="00774B93"/>
    <w:rsid w:val="007752F1"/>
    <w:rsid w:val="007757E2"/>
    <w:rsid w:val="00775C23"/>
    <w:rsid w:val="0079181E"/>
    <w:rsid w:val="00796928"/>
    <w:rsid w:val="007B0F91"/>
    <w:rsid w:val="007B183E"/>
    <w:rsid w:val="007B5370"/>
    <w:rsid w:val="007B604F"/>
    <w:rsid w:val="007B743F"/>
    <w:rsid w:val="007C2966"/>
    <w:rsid w:val="007C31E2"/>
    <w:rsid w:val="007C3F26"/>
    <w:rsid w:val="007D05FC"/>
    <w:rsid w:val="007D39BA"/>
    <w:rsid w:val="007D6327"/>
    <w:rsid w:val="007E5841"/>
    <w:rsid w:val="007E64E5"/>
    <w:rsid w:val="007F268E"/>
    <w:rsid w:val="007F4562"/>
    <w:rsid w:val="007F76D9"/>
    <w:rsid w:val="00804FC4"/>
    <w:rsid w:val="00805F5D"/>
    <w:rsid w:val="00807D59"/>
    <w:rsid w:val="00814682"/>
    <w:rsid w:val="00816E95"/>
    <w:rsid w:val="00821C48"/>
    <w:rsid w:val="00836FC1"/>
    <w:rsid w:val="00837A21"/>
    <w:rsid w:val="008420E1"/>
    <w:rsid w:val="00842253"/>
    <w:rsid w:val="0085230D"/>
    <w:rsid w:val="0085378C"/>
    <w:rsid w:val="008565EE"/>
    <w:rsid w:val="008604BA"/>
    <w:rsid w:val="00860D54"/>
    <w:rsid w:val="00860F50"/>
    <w:rsid w:val="0086395D"/>
    <w:rsid w:val="0086436F"/>
    <w:rsid w:val="0087004F"/>
    <w:rsid w:val="00870670"/>
    <w:rsid w:val="00872658"/>
    <w:rsid w:val="00873F6F"/>
    <w:rsid w:val="00874449"/>
    <w:rsid w:val="008747DA"/>
    <w:rsid w:val="0087485B"/>
    <w:rsid w:val="00874E4B"/>
    <w:rsid w:val="008803E8"/>
    <w:rsid w:val="0088650C"/>
    <w:rsid w:val="00895F3E"/>
    <w:rsid w:val="008975DA"/>
    <w:rsid w:val="008A02EF"/>
    <w:rsid w:val="008A38C3"/>
    <w:rsid w:val="008A4319"/>
    <w:rsid w:val="008A4B5F"/>
    <w:rsid w:val="008B3AC5"/>
    <w:rsid w:val="008B441F"/>
    <w:rsid w:val="008B6F59"/>
    <w:rsid w:val="008C0BB2"/>
    <w:rsid w:val="008C5C50"/>
    <w:rsid w:val="008C5F9D"/>
    <w:rsid w:val="008C7C6C"/>
    <w:rsid w:val="008D353E"/>
    <w:rsid w:val="008D3B09"/>
    <w:rsid w:val="008D490C"/>
    <w:rsid w:val="008E0B5A"/>
    <w:rsid w:val="008E5F59"/>
    <w:rsid w:val="008E6D21"/>
    <w:rsid w:val="008E7B91"/>
    <w:rsid w:val="008F48D8"/>
    <w:rsid w:val="0090310C"/>
    <w:rsid w:val="00903E7C"/>
    <w:rsid w:val="00906050"/>
    <w:rsid w:val="00906C1F"/>
    <w:rsid w:val="00907EE9"/>
    <w:rsid w:val="00910CA1"/>
    <w:rsid w:val="00911243"/>
    <w:rsid w:val="00911C44"/>
    <w:rsid w:val="00912FA3"/>
    <w:rsid w:val="00915D38"/>
    <w:rsid w:val="00917A04"/>
    <w:rsid w:val="00920521"/>
    <w:rsid w:val="009232E9"/>
    <w:rsid w:val="009276F3"/>
    <w:rsid w:val="00930D43"/>
    <w:rsid w:val="00930E44"/>
    <w:rsid w:val="00936360"/>
    <w:rsid w:val="00946687"/>
    <w:rsid w:val="00946AF5"/>
    <w:rsid w:val="0095111A"/>
    <w:rsid w:val="00952C56"/>
    <w:rsid w:val="00953948"/>
    <w:rsid w:val="00962C13"/>
    <w:rsid w:val="00965DD5"/>
    <w:rsid w:val="00967FC8"/>
    <w:rsid w:val="009728C3"/>
    <w:rsid w:val="00974CDC"/>
    <w:rsid w:val="009756B0"/>
    <w:rsid w:val="00977F26"/>
    <w:rsid w:val="00977FAD"/>
    <w:rsid w:val="00980313"/>
    <w:rsid w:val="0098162D"/>
    <w:rsid w:val="00992440"/>
    <w:rsid w:val="009A1447"/>
    <w:rsid w:val="009A1DAB"/>
    <w:rsid w:val="009A2FC1"/>
    <w:rsid w:val="009A78B0"/>
    <w:rsid w:val="009A7978"/>
    <w:rsid w:val="009B0C43"/>
    <w:rsid w:val="009B0F98"/>
    <w:rsid w:val="009B2481"/>
    <w:rsid w:val="009C010D"/>
    <w:rsid w:val="009D0E81"/>
    <w:rsid w:val="009D46A5"/>
    <w:rsid w:val="009D4711"/>
    <w:rsid w:val="009D5789"/>
    <w:rsid w:val="009D58F0"/>
    <w:rsid w:val="009E0396"/>
    <w:rsid w:val="009E29B4"/>
    <w:rsid w:val="009E6121"/>
    <w:rsid w:val="009E7462"/>
    <w:rsid w:val="009F4EBA"/>
    <w:rsid w:val="009F78A1"/>
    <w:rsid w:val="00A03D59"/>
    <w:rsid w:val="00A04E25"/>
    <w:rsid w:val="00A05EEA"/>
    <w:rsid w:val="00A115BE"/>
    <w:rsid w:val="00A11C25"/>
    <w:rsid w:val="00A12768"/>
    <w:rsid w:val="00A201F9"/>
    <w:rsid w:val="00A20FC5"/>
    <w:rsid w:val="00A27663"/>
    <w:rsid w:val="00A30F32"/>
    <w:rsid w:val="00A3603C"/>
    <w:rsid w:val="00A451A1"/>
    <w:rsid w:val="00A564A6"/>
    <w:rsid w:val="00A57797"/>
    <w:rsid w:val="00A5789A"/>
    <w:rsid w:val="00A60374"/>
    <w:rsid w:val="00A62960"/>
    <w:rsid w:val="00A6518B"/>
    <w:rsid w:val="00A66B67"/>
    <w:rsid w:val="00A679FE"/>
    <w:rsid w:val="00A67BC5"/>
    <w:rsid w:val="00A704ED"/>
    <w:rsid w:val="00A71A34"/>
    <w:rsid w:val="00A71D2A"/>
    <w:rsid w:val="00A73621"/>
    <w:rsid w:val="00A74505"/>
    <w:rsid w:val="00A802A6"/>
    <w:rsid w:val="00A8105E"/>
    <w:rsid w:val="00A819B5"/>
    <w:rsid w:val="00A8285C"/>
    <w:rsid w:val="00A83FE7"/>
    <w:rsid w:val="00A84C27"/>
    <w:rsid w:val="00A87E2C"/>
    <w:rsid w:val="00A91C5D"/>
    <w:rsid w:val="00A941CC"/>
    <w:rsid w:val="00AA0A2C"/>
    <w:rsid w:val="00AA364D"/>
    <w:rsid w:val="00AA4F1F"/>
    <w:rsid w:val="00AA6A58"/>
    <w:rsid w:val="00AA7122"/>
    <w:rsid w:val="00AB3D6C"/>
    <w:rsid w:val="00AB4D97"/>
    <w:rsid w:val="00AB5037"/>
    <w:rsid w:val="00AB61A0"/>
    <w:rsid w:val="00AD199C"/>
    <w:rsid w:val="00AD732B"/>
    <w:rsid w:val="00AE0C0B"/>
    <w:rsid w:val="00AE0C31"/>
    <w:rsid w:val="00AE0F65"/>
    <w:rsid w:val="00AE1CE6"/>
    <w:rsid w:val="00AE344C"/>
    <w:rsid w:val="00AE6A8E"/>
    <w:rsid w:val="00AE6D49"/>
    <w:rsid w:val="00AE6F26"/>
    <w:rsid w:val="00AF109C"/>
    <w:rsid w:val="00AF1229"/>
    <w:rsid w:val="00AF310D"/>
    <w:rsid w:val="00AF6D22"/>
    <w:rsid w:val="00B06955"/>
    <w:rsid w:val="00B13945"/>
    <w:rsid w:val="00B142BD"/>
    <w:rsid w:val="00B14A81"/>
    <w:rsid w:val="00B16F4F"/>
    <w:rsid w:val="00B1727D"/>
    <w:rsid w:val="00B22AB8"/>
    <w:rsid w:val="00B27D57"/>
    <w:rsid w:val="00B30940"/>
    <w:rsid w:val="00B31116"/>
    <w:rsid w:val="00B345D5"/>
    <w:rsid w:val="00B37DB2"/>
    <w:rsid w:val="00B4622E"/>
    <w:rsid w:val="00B47F2B"/>
    <w:rsid w:val="00B51A2C"/>
    <w:rsid w:val="00B53344"/>
    <w:rsid w:val="00B56787"/>
    <w:rsid w:val="00B5690A"/>
    <w:rsid w:val="00B616ED"/>
    <w:rsid w:val="00B62EE9"/>
    <w:rsid w:val="00B63BF4"/>
    <w:rsid w:val="00B65BB9"/>
    <w:rsid w:val="00B73B75"/>
    <w:rsid w:val="00B764B2"/>
    <w:rsid w:val="00B802C5"/>
    <w:rsid w:val="00B81CA0"/>
    <w:rsid w:val="00B81DD4"/>
    <w:rsid w:val="00B918D0"/>
    <w:rsid w:val="00B91BC8"/>
    <w:rsid w:val="00B9442B"/>
    <w:rsid w:val="00B973D4"/>
    <w:rsid w:val="00B97EAC"/>
    <w:rsid w:val="00BA0B13"/>
    <w:rsid w:val="00BA20C3"/>
    <w:rsid w:val="00BA324B"/>
    <w:rsid w:val="00BA4351"/>
    <w:rsid w:val="00BA7CD8"/>
    <w:rsid w:val="00BB19BC"/>
    <w:rsid w:val="00BB5FAF"/>
    <w:rsid w:val="00BB68BC"/>
    <w:rsid w:val="00BC5D54"/>
    <w:rsid w:val="00BD2AA1"/>
    <w:rsid w:val="00BE3A4F"/>
    <w:rsid w:val="00BF0F3F"/>
    <w:rsid w:val="00BF5688"/>
    <w:rsid w:val="00BF576E"/>
    <w:rsid w:val="00C05DB2"/>
    <w:rsid w:val="00C22975"/>
    <w:rsid w:val="00C261C1"/>
    <w:rsid w:val="00C26AAA"/>
    <w:rsid w:val="00C33574"/>
    <w:rsid w:val="00C42C7C"/>
    <w:rsid w:val="00C434B9"/>
    <w:rsid w:val="00C44548"/>
    <w:rsid w:val="00C47C5C"/>
    <w:rsid w:val="00C47E97"/>
    <w:rsid w:val="00C511B2"/>
    <w:rsid w:val="00C5401F"/>
    <w:rsid w:val="00C56C69"/>
    <w:rsid w:val="00C5767D"/>
    <w:rsid w:val="00C62BCC"/>
    <w:rsid w:val="00C6365C"/>
    <w:rsid w:val="00C63D57"/>
    <w:rsid w:val="00C64798"/>
    <w:rsid w:val="00C65A26"/>
    <w:rsid w:val="00C65B66"/>
    <w:rsid w:val="00C756AB"/>
    <w:rsid w:val="00C847CB"/>
    <w:rsid w:val="00C851F4"/>
    <w:rsid w:val="00C8564A"/>
    <w:rsid w:val="00C92C7B"/>
    <w:rsid w:val="00C933F0"/>
    <w:rsid w:val="00C93487"/>
    <w:rsid w:val="00C97712"/>
    <w:rsid w:val="00CA6E9C"/>
    <w:rsid w:val="00CB3722"/>
    <w:rsid w:val="00CB63DD"/>
    <w:rsid w:val="00CB7CF8"/>
    <w:rsid w:val="00CC2CA6"/>
    <w:rsid w:val="00CC6055"/>
    <w:rsid w:val="00CD1F52"/>
    <w:rsid w:val="00CD5401"/>
    <w:rsid w:val="00CE0598"/>
    <w:rsid w:val="00CE2556"/>
    <w:rsid w:val="00CE4173"/>
    <w:rsid w:val="00CF390B"/>
    <w:rsid w:val="00CF3AB5"/>
    <w:rsid w:val="00CF5B22"/>
    <w:rsid w:val="00CF6C16"/>
    <w:rsid w:val="00D043DC"/>
    <w:rsid w:val="00D07FF0"/>
    <w:rsid w:val="00D11414"/>
    <w:rsid w:val="00D11CD3"/>
    <w:rsid w:val="00D16D9E"/>
    <w:rsid w:val="00D27F90"/>
    <w:rsid w:val="00D32621"/>
    <w:rsid w:val="00D333BF"/>
    <w:rsid w:val="00D33CAB"/>
    <w:rsid w:val="00D35934"/>
    <w:rsid w:val="00D37CD1"/>
    <w:rsid w:val="00D40F34"/>
    <w:rsid w:val="00D4102B"/>
    <w:rsid w:val="00D4747D"/>
    <w:rsid w:val="00D55AF3"/>
    <w:rsid w:val="00D56250"/>
    <w:rsid w:val="00D60420"/>
    <w:rsid w:val="00D639A7"/>
    <w:rsid w:val="00D72919"/>
    <w:rsid w:val="00D74957"/>
    <w:rsid w:val="00D74C1F"/>
    <w:rsid w:val="00D8267A"/>
    <w:rsid w:val="00D84D4A"/>
    <w:rsid w:val="00D870C2"/>
    <w:rsid w:val="00D8742C"/>
    <w:rsid w:val="00D87EF8"/>
    <w:rsid w:val="00D93238"/>
    <w:rsid w:val="00D93C1D"/>
    <w:rsid w:val="00D93CEF"/>
    <w:rsid w:val="00D96EDD"/>
    <w:rsid w:val="00DA1E83"/>
    <w:rsid w:val="00DA3829"/>
    <w:rsid w:val="00DA72B7"/>
    <w:rsid w:val="00DB36FA"/>
    <w:rsid w:val="00DB4F68"/>
    <w:rsid w:val="00DB6C94"/>
    <w:rsid w:val="00DB79D6"/>
    <w:rsid w:val="00DC0A16"/>
    <w:rsid w:val="00DC153C"/>
    <w:rsid w:val="00DC1F1B"/>
    <w:rsid w:val="00DC6BC1"/>
    <w:rsid w:val="00DD2FE2"/>
    <w:rsid w:val="00DD69A0"/>
    <w:rsid w:val="00DE1436"/>
    <w:rsid w:val="00DE27C0"/>
    <w:rsid w:val="00DE43AD"/>
    <w:rsid w:val="00DE594E"/>
    <w:rsid w:val="00DF1426"/>
    <w:rsid w:val="00DF3758"/>
    <w:rsid w:val="00DF5EA8"/>
    <w:rsid w:val="00DF65C3"/>
    <w:rsid w:val="00DF7E2E"/>
    <w:rsid w:val="00E005A3"/>
    <w:rsid w:val="00E046CC"/>
    <w:rsid w:val="00E062BB"/>
    <w:rsid w:val="00E14FCC"/>
    <w:rsid w:val="00E1601C"/>
    <w:rsid w:val="00E2102C"/>
    <w:rsid w:val="00E22E5E"/>
    <w:rsid w:val="00E2725F"/>
    <w:rsid w:val="00E3259C"/>
    <w:rsid w:val="00E3305F"/>
    <w:rsid w:val="00E33559"/>
    <w:rsid w:val="00E34050"/>
    <w:rsid w:val="00E35617"/>
    <w:rsid w:val="00E37BCE"/>
    <w:rsid w:val="00E443AA"/>
    <w:rsid w:val="00E45219"/>
    <w:rsid w:val="00E46BC7"/>
    <w:rsid w:val="00E516A3"/>
    <w:rsid w:val="00E52905"/>
    <w:rsid w:val="00E53F8F"/>
    <w:rsid w:val="00E657CA"/>
    <w:rsid w:val="00E77782"/>
    <w:rsid w:val="00E77EC1"/>
    <w:rsid w:val="00E80242"/>
    <w:rsid w:val="00E81F17"/>
    <w:rsid w:val="00E900E5"/>
    <w:rsid w:val="00E939DE"/>
    <w:rsid w:val="00E946E8"/>
    <w:rsid w:val="00EA6BF6"/>
    <w:rsid w:val="00EB3807"/>
    <w:rsid w:val="00EC098A"/>
    <w:rsid w:val="00EC0A84"/>
    <w:rsid w:val="00EC1515"/>
    <w:rsid w:val="00EC297E"/>
    <w:rsid w:val="00EC450D"/>
    <w:rsid w:val="00EC4539"/>
    <w:rsid w:val="00EC5E04"/>
    <w:rsid w:val="00ED6ACB"/>
    <w:rsid w:val="00ED783B"/>
    <w:rsid w:val="00EE2F3C"/>
    <w:rsid w:val="00EF2566"/>
    <w:rsid w:val="00EF2A2B"/>
    <w:rsid w:val="00EF4828"/>
    <w:rsid w:val="00EF5115"/>
    <w:rsid w:val="00EF6E6B"/>
    <w:rsid w:val="00F001B0"/>
    <w:rsid w:val="00F0134C"/>
    <w:rsid w:val="00F02123"/>
    <w:rsid w:val="00F026E9"/>
    <w:rsid w:val="00F06E02"/>
    <w:rsid w:val="00F14C7F"/>
    <w:rsid w:val="00F23F38"/>
    <w:rsid w:val="00F25994"/>
    <w:rsid w:val="00F30842"/>
    <w:rsid w:val="00F337FA"/>
    <w:rsid w:val="00F3558D"/>
    <w:rsid w:val="00F4146E"/>
    <w:rsid w:val="00F41DBB"/>
    <w:rsid w:val="00F439EE"/>
    <w:rsid w:val="00F51A86"/>
    <w:rsid w:val="00F60679"/>
    <w:rsid w:val="00F6578A"/>
    <w:rsid w:val="00F72C17"/>
    <w:rsid w:val="00F74689"/>
    <w:rsid w:val="00F76276"/>
    <w:rsid w:val="00F776D4"/>
    <w:rsid w:val="00F778A0"/>
    <w:rsid w:val="00F87788"/>
    <w:rsid w:val="00F95D3B"/>
    <w:rsid w:val="00FA11E8"/>
    <w:rsid w:val="00FA1715"/>
    <w:rsid w:val="00FA36E7"/>
    <w:rsid w:val="00FA3788"/>
    <w:rsid w:val="00FA450B"/>
    <w:rsid w:val="00FA720F"/>
    <w:rsid w:val="00FB3FBE"/>
    <w:rsid w:val="00FB424E"/>
    <w:rsid w:val="00FB7FAF"/>
    <w:rsid w:val="00FC5364"/>
    <w:rsid w:val="00FD59A0"/>
    <w:rsid w:val="00FD5C3D"/>
    <w:rsid w:val="00FE13E4"/>
    <w:rsid w:val="00FE7629"/>
    <w:rsid w:val="00FF1FF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99279D-BB84-4CF2-A918-E776886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19"/>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qFormat/>
    <w:rsid w:val="00594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E6412"/>
    <w:pPr>
      <w:spacing w:before="100" w:beforeAutospacing="1" w:after="100" w:afterAutospacing="1"/>
      <w:outlineLvl w:val="1"/>
    </w:pPr>
    <w:rPr>
      <w:b/>
      <w:bCs/>
      <w:sz w:val="36"/>
      <w:szCs w:val="36"/>
      <w:lang w:eastAsia="es-MX"/>
    </w:rPr>
  </w:style>
  <w:style w:type="paragraph" w:styleId="Ttulo3">
    <w:name w:val="heading 3"/>
    <w:basedOn w:val="Normal"/>
    <w:next w:val="Normal"/>
    <w:link w:val="Ttulo3Car"/>
    <w:semiHidden/>
    <w:unhideWhenUsed/>
    <w:qFormat/>
    <w:rsid w:val="00594A8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rsid w:val="0003251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32519"/>
  </w:style>
  <w:style w:type="paragraph" w:customStyle="1" w:styleId="ecxmsonormal">
    <w:name w:val="ecxmsonormal"/>
    <w:basedOn w:val="Normal"/>
    <w:rsid w:val="00D35934"/>
    <w:pPr>
      <w:spacing w:after="324"/>
    </w:pPr>
  </w:style>
  <w:style w:type="paragraph" w:styleId="Encabezado">
    <w:name w:val="header"/>
    <w:basedOn w:val="Normal"/>
    <w:link w:val="EncabezadoCar"/>
    <w:uiPriority w:val="99"/>
    <w:rsid w:val="00A8105E"/>
    <w:pPr>
      <w:tabs>
        <w:tab w:val="center" w:pos="4419"/>
        <w:tab w:val="right" w:pos="8838"/>
      </w:tabs>
    </w:pPr>
  </w:style>
  <w:style w:type="character" w:customStyle="1" w:styleId="EncabezadoCar">
    <w:name w:val="Encabezado Car"/>
    <w:link w:val="Encabezado"/>
    <w:uiPriority w:val="99"/>
    <w:rsid w:val="00A8105E"/>
    <w:rPr>
      <w:sz w:val="24"/>
      <w:szCs w:val="24"/>
      <w:lang w:val="es-ES" w:eastAsia="es-ES"/>
    </w:rPr>
  </w:style>
  <w:style w:type="paragraph" w:styleId="Piedepgina">
    <w:name w:val="footer"/>
    <w:basedOn w:val="Normal"/>
    <w:link w:val="PiedepginaCar"/>
    <w:uiPriority w:val="99"/>
    <w:rsid w:val="00A8105E"/>
    <w:pPr>
      <w:tabs>
        <w:tab w:val="center" w:pos="4419"/>
        <w:tab w:val="right" w:pos="8838"/>
      </w:tabs>
    </w:pPr>
  </w:style>
  <w:style w:type="character" w:customStyle="1" w:styleId="PiedepginaCar">
    <w:name w:val="Pie de página Car"/>
    <w:link w:val="Piedepgina"/>
    <w:uiPriority w:val="99"/>
    <w:rsid w:val="00A8105E"/>
    <w:rPr>
      <w:sz w:val="24"/>
      <w:szCs w:val="24"/>
      <w:lang w:val="es-ES" w:eastAsia="es-ES"/>
    </w:rPr>
  </w:style>
  <w:style w:type="paragraph" w:styleId="Textodeglobo">
    <w:name w:val="Balloon Text"/>
    <w:basedOn w:val="Normal"/>
    <w:link w:val="TextodegloboCar"/>
    <w:rsid w:val="00386702"/>
    <w:rPr>
      <w:rFonts w:ascii="Tahoma" w:hAnsi="Tahoma" w:cs="Tahoma"/>
      <w:sz w:val="16"/>
      <w:szCs w:val="16"/>
    </w:rPr>
  </w:style>
  <w:style w:type="character" w:customStyle="1" w:styleId="TextodegloboCar">
    <w:name w:val="Texto de globo Car"/>
    <w:link w:val="Textodeglobo"/>
    <w:rsid w:val="00386702"/>
    <w:rPr>
      <w:rFonts w:ascii="Tahoma" w:hAnsi="Tahoma" w:cs="Tahoma"/>
      <w:sz w:val="16"/>
      <w:szCs w:val="16"/>
      <w:lang w:val="es-ES" w:eastAsia="es-ES"/>
    </w:rPr>
  </w:style>
  <w:style w:type="paragraph" w:customStyle="1" w:styleId="texto">
    <w:name w:val="texto"/>
    <w:rsid w:val="002F1CCC"/>
    <w:pPr>
      <w:autoSpaceDE w:val="0"/>
      <w:autoSpaceDN w:val="0"/>
      <w:adjustRightInd w:val="0"/>
    </w:pPr>
    <w:rPr>
      <w:rFonts w:ascii="EurekaSans-Light" w:hAnsi="EurekaSans-Light" w:cs="EurekaSans-Light"/>
      <w:color w:val="000000"/>
      <w:lang w:val="es-ES" w:eastAsia="es-ES"/>
    </w:rPr>
  </w:style>
  <w:style w:type="paragraph" w:styleId="Prrafodelista">
    <w:name w:val="List Paragraph"/>
    <w:basedOn w:val="Normal"/>
    <w:uiPriority w:val="34"/>
    <w:qFormat/>
    <w:rsid w:val="008D490C"/>
    <w:pPr>
      <w:ind w:left="708"/>
    </w:pPr>
  </w:style>
  <w:style w:type="paragraph" w:customStyle="1" w:styleId="Cdetexto">
    <w:name w:val="C. de texto"/>
    <w:uiPriority w:val="99"/>
    <w:rsid w:val="00604F40"/>
    <w:pPr>
      <w:autoSpaceDE w:val="0"/>
      <w:autoSpaceDN w:val="0"/>
      <w:adjustRightInd w:val="0"/>
      <w:spacing w:after="170"/>
      <w:jc w:val="both"/>
    </w:pPr>
    <w:rPr>
      <w:rFonts w:ascii="NewsGoth BT" w:hAnsi="NewsGoth BT" w:cs="NewsGoth BT"/>
      <w:color w:val="0A357E"/>
      <w:lang w:val="es-ES" w:eastAsia="es-ES"/>
    </w:rPr>
  </w:style>
  <w:style w:type="paragraph" w:customStyle="1" w:styleId="areas">
    <w:name w:val="areas"/>
    <w:uiPriority w:val="99"/>
    <w:rsid w:val="005E7279"/>
    <w:pPr>
      <w:autoSpaceDE w:val="0"/>
      <w:autoSpaceDN w:val="0"/>
      <w:adjustRightInd w:val="0"/>
      <w:spacing w:after="72"/>
    </w:pPr>
    <w:rPr>
      <w:rFonts w:ascii="Albertus Medium" w:eastAsia="Calibri" w:hAnsi="Albertus Medium" w:cs="Albertus Medium"/>
      <w:b/>
      <w:bCs/>
      <w:color w:val="F26900"/>
      <w:sz w:val="24"/>
      <w:szCs w:val="24"/>
    </w:rPr>
  </w:style>
  <w:style w:type="table" w:styleId="Tablaconcuadrcula">
    <w:name w:val="Table Grid"/>
    <w:basedOn w:val="Tablanormal"/>
    <w:uiPriority w:val="59"/>
    <w:rsid w:val="004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4CC7"/>
    <w:pPr>
      <w:spacing w:before="100" w:beforeAutospacing="1" w:after="100" w:afterAutospacing="1"/>
    </w:pPr>
    <w:rPr>
      <w:lang w:eastAsia="es-MX"/>
    </w:rPr>
  </w:style>
  <w:style w:type="character" w:customStyle="1" w:styleId="Ttulo2Car">
    <w:name w:val="Título 2 Car"/>
    <w:link w:val="Ttulo2"/>
    <w:uiPriority w:val="9"/>
    <w:rsid w:val="000E6412"/>
    <w:rPr>
      <w:b/>
      <w:bCs/>
      <w:sz w:val="36"/>
      <w:szCs w:val="36"/>
    </w:rPr>
  </w:style>
  <w:style w:type="character" w:customStyle="1" w:styleId="apple-style-span">
    <w:name w:val="apple-style-span"/>
    <w:rsid w:val="00FA1715"/>
  </w:style>
  <w:style w:type="paragraph" w:styleId="Textoindependiente">
    <w:name w:val="Body Text"/>
    <w:basedOn w:val="Normal"/>
    <w:link w:val="TextoindependienteCar"/>
    <w:rsid w:val="002C30EB"/>
    <w:pPr>
      <w:spacing w:before="120" w:after="120"/>
      <w:jc w:val="both"/>
    </w:pPr>
    <w:rPr>
      <w:rFonts w:ascii="Helvetica-Normal" w:hAnsi="Helvetica-Normal"/>
      <w:sz w:val="18"/>
      <w:szCs w:val="18"/>
    </w:rPr>
  </w:style>
  <w:style w:type="character" w:customStyle="1" w:styleId="TextoindependienteCar">
    <w:name w:val="Texto independiente Car"/>
    <w:link w:val="Textoindependiente"/>
    <w:rsid w:val="002C30EB"/>
    <w:rPr>
      <w:rFonts w:ascii="Helvetica-Normal" w:hAnsi="Helvetica-Normal"/>
      <w:sz w:val="18"/>
      <w:szCs w:val="18"/>
      <w:lang w:val="es-ES" w:eastAsia="es-ES"/>
    </w:rPr>
  </w:style>
  <w:style w:type="paragraph" w:styleId="Sangradetextonormal">
    <w:name w:val="Body Text Indent"/>
    <w:basedOn w:val="Normal"/>
    <w:link w:val="SangradetextonormalCar"/>
    <w:uiPriority w:val="99"/>
    <w:rsid w:val="005B5C91"/>
    <w:pPr>
      <w:spacing w:after="120"/>
      <w:ind w:left="283"/>
    </w:pPr>
  </w:style>
  <w:style w:type="character" w:customStyle="1" w:styleId="SangradetextonormalCar">
    <w:name w:val="Sangría de texto normal Car"/>
    <w:link w:val="Sangradetextonormal"/>
    <w:uiPriority w:val="99"/>
    <w:rsid w:val="005B5C91"/>
    <w:rPr>
      <w:sz w:val="24"/>
      <w:szCs w:val="24"/>
      <w:lang w:val="es-ES" w:eastAsia="es-ES"/>
    </w:rPr>
  </w:style>
  <w:style w:type="character" w:customStyle="1" w:styleId="Ttulo1Car">
    <w:name w:val="Título 1 Car"/>
    <w:basedOn w:val="Fuentedeprrafopredeter"/>
    <w:link w:val="Ttulo1"/>
    <w:rsid w:val="00594A8C"/>
    <w:rPr>
      <w:rFonts w:asciiTheme="majorHAnsi" w:eastAsiaTheme="majorEastAsia" w:hAnsiTheme="majorHAnsi" w:cstheme="majorBidi"/>
      <w:b/>
      <w:bCs/>
      <w:color w:val="365F91" w:themeColor="accent1" w:themeShade="BF"/>
      <w:sz w:val="28"/>
      <w:szCs w:val="28"/>
      <w:lang w:val="es-ES" w:eastAsia="es-ES"/>
    </w:rPr>
  </w:style>
  <w:style w:type="character" w:customStyle="1" w:styleId="Ttulo3Car">
    <w:name w:val="Título 3 Car"/>
    <w:basedOn w:val="Fuentedeprrafopredeter"/>
    <w:link w:val="Ttulo3"/>
    <w:semiHidden/>
    <w:rsid w:val="00594A8C"/>
    <w:rPr>
      <w:rFonts w:asciiTheme="majorHAnsi" w:eastAsiaTheme="majorEastAsia" w:hAnsiTheme="majorHAnsi" w:cstheme="majorBidi"/>
      <w:b/>
      <w:bCs/>
      <w:color w:val="4F81BD" w:themeColor="accent1"/>
      <w:sz w:val="24"/>
      <w:szCs w:val="24"/>
      <w:lang w:val="es-ES" w:eastAsia="es-ES"/>
    </w:rPr>
  </w:style>
  <w:style w:type="character" w:styleId="Hipervnculo">
    <w:name w:val="Hyperlink"/>
    <w:basedOn w:val="Fuentedeprrafopredeter"/>
    <w:uiPriority w:val="99"/>
    <w:rsid w:val="00A60374"/>
    <w:rPr>
      <w:color w:val="0000FF" w:themeColor="hyperlink"/>
      <w:u w:val="single"/>
    </w:rPr>
  </w:style>
  <w:style w:type="character" w:customStyle="1" w:styleId="apple-converted-space">
    <w:name w:val="apple-converted-space"/>
    <w:basedOn w:val="Fuentedeprrafopredeter"/>
    <w:rsid w:val="002065FF"/>
  </w:style>
  <w:style w:type="character" w:styleId="Textoennegrita">
    <w:name w:val="Strong"/>
    <w:basedOn w:val="Fuentedeprrafopredeter"/>
    <w:uiPriority w:val="22"/>
    <w:qFormat/>
    <w:rsid w:val="002065FF"/>
    <w:rPr>
      <w:b/>
      <w:bCs/>
    </w:rPr>
  </w:style>
  <w:style w:type="table" w:customStyle="1" w:styleId="Tablaconcuadrcula1">
    <w:name w:val="Tabla con cuadrícula1"/>
    <w:basedOn w:val="Tablanormal"/>
    <w:next w:val="Tablaconcuadrcula"/>
    <w:uiPriority w:val="59"/>
    <w:rsid w:val="00341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A91C5D"/>
    <w:rPr>
      <w:sz w:val="16"/>
      <w:szCs w:val="16"/>
    </w:rPr>
  </w:style>
  <w:style w:type="paragraph" w:styleId="Textocomentario">
    <w:name w:val="annotation text"/>
    <w:basedOn w:val="Normal"/>
    <w:link w:val="TextocomentarioCar"/>
    <w:semiHidden/>
    <w:unhideWhenUsed/>
    <w:rsid w:val="00A91C5D"/>
    <w:rPr>
      <w:sz w:val="20"/>
      <w:szCs w:val="20"/>
    </w:rPr>
  </w:style>
  <w:style w:type="character" w:customStyle="1" w:styleId="TextocomentarioCar">
    <w:name w:val="Texto comentario Car"/>
    <w:basedOn w:val="Fuentedeprrafopredeter"/>
    <w:link w:val="Textocomentario"/>
    <w:semiHidden/>
    <w:rsid w:val="00A91C5D"/>
    <w:rPr>
      <w:lang w:val="es-ES" w:eastAsia="es-ES"/>
    </w:rPr>
  </w:style>
  <w:style w:type="paragraph" w:styleId="Asuntodelcomentario">
    <w:name w:val="annotation subject"/>
    <w:basedOn w:val="Textocomentario"/>
    <w:next w:val="Textocomentario"/>
    <w:link w:val="AsuntodelcomentarioCar"/>
    <w:semiHidden/>
    <w:unhideWhenUsed/>
    <w:rsid w:val="00A91C5D"/>
    <w:rPr>
      <w:b/>
      <w:bCs/>
    </w:rPr>
  </w:style>
  <w:style w:type="character" w:customStyle="1" w:styleId="AsuntodelcomentarioCar">
    <w:name w:val="Asunto del comentario Car"/>
    <w:basedOn w:val="TextocomentarioCar"/>
    <w:link w:val="Asuntodelcomentario"/>
    <w:semiHidden/>
    <w:rsid w:val="00A91C5D"/>
    <w:rPr>
      <w:b/>
      <w:bCs/>
      <w:lang w:val="es-ES" w:eastAsia="es-ES"/>
    </w:rPr>
  </w:style>
  <w:style w:type="character" w:styleId="Textodelmarcadordeposicin">
    <w:name w:val="Placeholder Text"/>
    <w:basedOn w:val="Fuentedeprrafopredeter"/>
    <w:uiPriority w:val="99"/>
    <w:semiHidden/>
    <w:rsid w:val="00282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343">
      <w:bodyDiv w:val="1"/>
      <w:marLeft w:val="0"/>
      <w:marRight w:val="0"/>
      <w:marTop w:val="0"/>
      <w:marBottom w:val="0"/>
      <w:divBdr>
        <w:top w:val="none" w:sz="0" w:space="0" w:color="auto"/>
        <w:left w:val="none" w:sz="0" w:space="0" w:color="auto"/>
        <w:bottom w:val="none" w:sz="0" w:space="0" w:color="auto"/>
        <w:right w:val="none" w:sz="0" w:space="0" w:color="auto"/>
      </w:divBdr>
    </w:div>
    <w:div w:id="45222602">
      <w:bodyDiv w:val="1"/>
      <w:marLeft w:val="0"/>
      <w:marRight w:val="0"/>
      <w:marTop w:val="0"/>
      <w:marBottom w:val="0"/>
      <w:divBdr>
        <w:top w:val="none" w:sz="0" w:space="0" w:color="auto"/>
        <w:left w:val="none" w:sz="0" w:space="0" w:color="auto"/>
        <w:bottom w:val="none" w:sz="0" w:space="0" w:color="auto"/>
        <w:right w:val="none" w:sz="0" w:space="0" w:color="auto"/>
      </w:divBdr>
      <w:divsChild>
        <w:div w:id="835388473">
          <w:marLeft w:val="0"/>
          <w:marRight w:val="0"/>
          <w:marTop w:val="0"/>
          <w:marBottom w:val="0"/>
          <w:divBdr>
            <w:top w:val="none" w:sz="0" w:space="0" w:color="auto"/>
            <w:left w:val="none" w:sz="0" w:space="0" w:color="auto"/>
            <w:bottom w:val="none" w:sz="0" w:space="0" w:color="auto"/>
            <w:right w:val="none" w:sz="0" w:space="0" w:color="auto"/>
          </w:divBdr>
        </w:div>
      </w:divsChild>
    </w:div>
    <w:div w:id="50201082">
      <w:bodyDiv w:val="1"/>
      <w:marLeft w:val="0"/>
      <w:marRight w:val="0"/>
      <w:marTop w:val="0"/>
      <w:marBottom w:val="0"/>
      <w:divBdr>
        <w:top w:val="none" w:sz="0" w:space="0" w:color="auto"/>
        <w:left w:val="none" w:sz="0" w:space="0" w:color="auto"/>
        <w:bottom w:val="none" w:sz="0" w:space="0" w:color="auto"/>
        <w:right w:val="none" w:sz="0" w:space="0" w:color="auto"/>
      </w:divBdr>
    </w:div>
    <w:div w:id="74321953">
      <w:bodyDiv w:val="1"/>
      <w:marLeft w:val="0"/>
      <w:marRight w:val="0"/>
      <w:marTop w:val="0"/>
      <w:marBottom w:val="0"/>
      <w:divBdr>
        <w:top w:val="none" w:sz="0" w:space="0" w:color="auto"/>
        <w:left w:val="none" w:sz="0" w:space="0" w:color="auto"/>
        <w:bottom w:val="none" w:sz="0" w:space="0" w:color="auto"/>
        <w:right w:val="none" w:sz="0" w:space="0" w:color="auto"/>
      </w:divBdr>
    </w:div>
    <w:div w:id="117189107">
      <w:bodyDiv w:val="1"/>
      <w:marLeft w:val="0"/>
      <w:marRight w:val="0"/>
      <w:marTop w:val="0"/>
      <w:marBottom w:val="0"/>
      <w:divBdr>
        <w:top w:val="none" w:sz="0" w:space="0" w:color="auto"/>
        <w:left w:val="none" w:sz="0" w:space="0" w:color="auto"/>
        <w:bottom w:val="none" w:sz="0" w:space="0" w:color="auto"/>
        <w:right w:val="none" w:sz="0" w:space="0" w:color="auto"/>
      </w:divBdr>
    </w:div>
    <w:div w:id="127361103">
      <w:bodyDiv w:val="1"/>
      <w:marLeft w:val="0"/>
      <w:marRight w:val="0"/>
      <w:marTop w:val="0"/>
      <w:marBottom w:val="0"/>
      <w:divBdr>
        <w:top w:val="none" w:sz="0" w:space="0" w:color="auto"/>
        <w:left w:val="none" w:sz="0" w:space="0" w:color="auto"/>
        <w:bottom w:val="none" w:sz="0" w:space="0" w:color="auto"/>
        <w:right w:val="none" w:sz="0" w:space="0" w:color="auto"/>
      </w:divBdr>
    </w:div>
    <w:div w:id="146483274">
      <w:bodyDiv w:val="1"/>
      <w:marLeft w:val="0"/>
      <w:marRight w:val="0"/>
      <w:marTop w:val="0"/>
      <w:marBottom w:val="0"/>
      <w:divBdr>
        <w:top w:val="none" w:sz="0" w:space="0" w:color="auto"/>
        <w:left w:val="none" w:sz="0" w:space="0" w:color="auto"/>
        <w:bottom w:val="none" w:sz="0" w:space="0" w:color="auto"/>
        <w:right w:val="none" w:sz="0" w:space="0" w:color="auto"/>
      </w:divBdr>
      <w:divsChild>
        <w:div w:id="1145048035">
          <w:marLeft w:val="0"/>
          <w:marRight w:val="0"/>
          <w:marTop w:val="0"/>
          <w:marBottom w:val="0"/>
          <w:divBdr>
            <w:top w:val="none" w:sz="0" w:space="0" w:color="auto"/>
            <w:left w:val="none" w:sz="0" w:space="0" w:color="auto"/>
            <w:bottom w:val="none" w:sz="0" w:space="0" w:color="auto"/>
            <w:right w:val="none" w:sz="0" w:space="0" w:color="auto"/>
          </w:divBdr>
          <w:divsChild>
            <w:div w:id="1563784155">
              <w:marLeft w:val="0"/>
              <w:marRight w:val="0"/>
              <w:marTop w:val="0"/>
              <w:marBottom w:val="0"/>
              <w:divBdr>
                <w:top w:val="none" w:sz="0" w:space="0" w:color="auto"/>
                <w:left w:val="none" w:sz="0" w:space="0" w:color="auto"/>
                <w:bottom w:val="none" w:sz="0" w:space="0" w:color="auto"/>
                <w:right w:val="none" w:sz="0" w:space="0" w:color="auto"/>
              </w:divBdr>
              <w:divsChild>
                <w:div w:id="1521550198">
                  <w:marLeft w:val="0"/>
                  <w:marRight w:val="0"/>
                  <w:marTop w:val="0"/>
                  <w:marBottom w:val="0"/>
                  <w:divBdr>
                    <w:top w:val="none" w:sz="0" w:space="0" w:color="auto"/>
                    <w:left w:val="none" w:sz="0" w:space="0" w:color="auto"/>
                    <w:bottom w:val="none" w:sz="0" w:space="0" w:color="auto"/>
                    <w:right w:val="none" w:sz="0" w:space="0" w:color="auto"/>
                  </w:divBdr>
                  <w:divsChild>
                    <w:div w:id="242878160">
                      <w:marLeft w:val="0"/>
                      <w:marRight w:val="0"/>
                      <w:marTop w:val="0"/>
                      <w:marBottom w:val="0"/>
                      <w:divBdr>
                        <w:top w:val="none" w:sz="0" w:space="0" w:color="auto"/>
                        <w:left w:val="none" w:sz="0" w:space="0" w:color="auto"/>
                        <w:bottom w:val="none" w:sz="0" w:space="0" w:color="auto"/>
                        <w:right w:val="none" w:sz="0" w:space="0" w:color="auto"/>
                      </w:divBdr>
                      <w:divsChild>
                        <w:div w:id="1923299115">
                          <w:marLeft w:val="0"/>
                          <w:marRight w:val="0"/>
                          <w:marTop w:val="0"/>
                          <w:marBottom w:val="0"/>
                          <w:divBdr>
                            <w:top w:val="none" w:sz="0" w:space="0" w:color="auto"/>
                            <w:left w:val="none" w:sz="0" w:space="0" w:color="auto"/>
                            <w:bottom w:val="none" w:sz="0" w:space="0" w:color="auto"/>
                            <w:right w:val="none" w:sz="0" w:space="0" w:color="auto"/>
                          </w:divBdr>
                          <w:divsChild>
                            <w:div w:id="1501698276">
                              <w:marLeft w:val="0"/>
                              <w:marRight w:val="0"/>
                              <w:marTop w:val="0"/>
                              <w:marBottom w:val="0"/>
                              <w:divBdr>
                                <w:top w:val="none" w:sz="0" w:space="0" w:color="auto"/>
                                <w:left w:val="none" w:sz="0" w:space="0" w:color="auto"/>
                                <w:bottom w:val="none" w:sz="0" w:space="0" w:color="auto"/>
                                <w:right w:val="none" w:sz="0" w:space="0" w:color="auto"/>
                              </w:divBdr>
                              <w:divsChild>
                                <w:div w:id="783622505">
                                  <w:marLeft w:val="0"/>
                                  <w:marRight w:val="0"/>
                                  <w:marTop w:val="0"/>
                                  <w:marBottom w:val="0"/>
                                  <w:divBdr>
                                    <w:top w:val="none" w:sz="0" w:space="0" w:color="auto"/>
                                    <w:left w:val="none" w:sz="0" w:space="0" w:color="auto"/>
                                    <w:bottom w:val="none" w:sz="0" w:space="0" w:color="auto"/>
                                    <w:right w:val="none" w:sz="0" w:space="0" w:color="auto"/>
                                  </w:divBdr>
                                  <w:divsChild>
                                    <w:div w:id="1792237219">
                                      <w:marLeft w:val="0"/>
                                      <w:marRight w:val="0"/>
                                      <w:marTop w:val="0"/>
                                      <w:marBottom w:val="0"/>
                                      <w:divBdr>
                                        <w:top w:val="none" w:sz="0" w:space="0" w:color="auto"/>
                                        <w:left w:val="none" w:sz="0" w:space="0" w:color="auto"/>
                                        <w:bottom w:val="none" w:sz="0" w:space="0" w:color="auto"/>
                                        <w:right w:val="none" w:sz="0" w:space="0" w:color="auto"/>
                                      </w:divBdr>
                                      <w:divsChild>
                                        <w:div w:id="1434860140">
                                          <w:marLeft w:val="0"/>
                                          <w:marRight w:val="0"/>
                                          <w:marTop w:val="0"/>
                                          <w:marBottom w:val="0"/>
                                          <w:divBdr>
                                            <w:top w:val="none" w:sz="0" w:space="0" w:color="auto"/>
                                            <w:left w:val="none" w:sz="0" w:space="0" w:color="auto"/>
                                            <w:bottom w:val="none" w:sz="0" w:space="0" w:color="auto"/>
                                            <w:right w:val="none" w:sz="0" w:space="0" w:color="auto"/>
                                          </w:divBdr>
                                          <w:divsChild>
                                            <w:div w:id="1478912937">
                                              <w:marLeft w:val="0"/>
                                              <w:marRight w:val="0"/>
                                              <w:marTop w:val="0"/>
                                              <w:marBottom w:val="0"/>
                                              <w:divBdr>
                                                <w:top w:val="none" w:sz="0" w:space="0" w:color="auto"/>
                                                <w:left w:val="none" w:sz="0" w:space="0" w:color="auto"/>
                                                <w:bottom w:val="none" w:sz="0" w:space="0" w:color="auto"/>
                                                <w:right w:val="none" w:sz="0" w:space="0" w:color="auto"/>
                                              </w:divBdr>
                                              <w:divsChild>
                                                <w:div w:id="2073236237">
                                                  <w:marLeft w:val="0"/>
                                                  <w:marRight w:val="90"/>
                                                  <w:marTop w:val="0"/>
                                                  <w:marBottom w:val="0"/>
                                                  <w:divBdr>
                                                    <w:top w:val="none" w:sz="0" w:space="0" w:color="auto"/>
                                                    <w:left w:val="none" w:sz="0" w:space="0" w:color="auto"/>
                                                    <w:bottom w:val="none" w:sz="0" w:space="0" w:color="auto"/>
                                                    <w:right w:val="none" w:sz="0" w:space="0" w:color="auto"/>
                                                  </w:divBdr>
                                                  <w:divsChild>
                                                    <w:div w:id="1678002104">
                                                      <w:marLeft w:val="0"/>
                                                      <w:marRight w:val="0"/>
                                                      <w:marTop w:val="0"/>
                                                      <w:marBottom w:val="0"/>
                                                      <w:divBdr>
                                                        <w:top w:val="none" w:sz="0" w:space="0" w:color="auto"/>
                                                        <w:left w:val="none" w:sz="0" w:space="0" w:color="auto"/>
                                                        <w:bottom w:val="none" w:sz="0" w:space="0" w:color="auto"/>
                                                        <w:right w:val="none" w:sz="0" w:space="0" w:color="auto"/>
                                                      </w:divBdr>
                                                      <w:divsChild>
                                                        <w:div w:id="1415273431">
                                                          <w:marLeft w:val="0"/>
                                                          <w:marRight w:val="0"/>
                                                          <w:marTop w:val="0"/>
                                                          <w:marBottom w:val="0"/>
                                                          <w:divBdr>
                                                            <w:top w:val="none" w:sz="0" w:space="0" w:color="auto"/>
                                                            <w:left w:val="none" w:sz="0" w:space="0" w:color="auto"/>
                                                            <w:bottom w:val="none" w:sz="0" w:space="0" w:color="auto"/>
                                                            <w:right w:val="none" w:sz="0" w:space="0" w:color="auto"/>
                                                          </w:divBdr>
                                                          <w:divsChild>
                                                            <w:div w:id="1748109835">
                                                              <w:marLeft w:val="0"/>
                                                              <w:marRight w:val="0"/>
                                                              <w:marTop w:val="0"/>
                                                              <w:marBottom w:val="0"/>
                                                              <w:divBdr>
                                                                <w:top w:val="none" w:sz="0" w:space="0" w:color="auto"/>
                                                                <w:left w:val="none" w:sz="0" w:space="0" w:color="auto"/>
                                                                <w:bottom w:val="none" w:sz="0" w:space="0" w:color="auto"/>
                                                                <w:right w:val="none" w:sz="0" w:space="0" w:color="auto"/>
                                                              </w:divBdr>
                                                              <w:divsChild>
                                                                <w:div w:id="577179151">
                                                                  <w:marLeft w:val="0"/>
                                                                  <w:marRight w:val="0"/>
                                                                  <w:marTop w:val="0"/>
                                                                  <w:marBottom w:val="0"/>
                                                                  <w:divBdr>
                                                                    <w:top w:val="none" w:sz="0" w:space="0" w:color="auto"/>
                                                                    <w:left w:val="none" w:sz="0" w:space="0" w:color="auto"/>
                                                                    <w:bottom w:val="none" w:sz="0" w:space="0" w:color="auto"/>
                                                                    <w:right w:val="none" w:sz="0" w:space="0" w:color="auto"/>
                                                                  </w:divBdr>
                                                                  <w:divsChild>
                                                                    <w:div w:id="1657175853">
                                                                      <w:marLeft w:val="0"/>
                                                                      <w:marRight w:val="0"/>
                                                                      <w:marTop w:val="0"/>
                                                                      <w:marBottom w:val="0"/>
                                                                      <w:divBdr>
                                                                        <w:top w:val="none" w:sz="0" w:space="0" w:color="auto"/>
                                                                        <w:left w:val="none" w:sz="0" w:space="0" w:color="auto"/>
                                                                        <w:bottom w:val="none" w:sz="0" w:space="0" w:color="auto"/>
                                                                        <w:right w:val="none" w:sz="0" w:space="0" w:color="auto"/>
                                                                      </w:divBdr>
                                                                      <w:divsChild>
                                                                        <w:div w:id="44525401">
                                                                          <w:marLeft w:val="0"/>
                                                                          <w:marRight w:val="0"/>
                                                                          <w:marTop w:val="0"/>
                                                                          <w:marBottom w:val="0"/>
                                                                          <w:divBdr>
                                                                            <w:top w:val="none" w:sz="0" w:space="0" w:color="auto"/>
                                                                            <w:left w:val="none" w:sz="0" w:space="0" w:color="auto"/>
                                                                            <w:bottom w:val="none" w:sz="0" w:space="0" w:color="auto"/>
                                                                            <w:right w:val="none" w:sz="0" w:space="0" w:color="auto"/>
                                                                          </w:divBdr>
                                                                          <w:divsChild>
                                                                            <w:div w:id="918904685">
                                                                              <w:marLeft w:val="0"/>
                                                                              <w:marRight w:val="0"/>
                                                                              <w:marTop w:val="0"/>
                                                                              <w:marBottom w:val="0"/>
                                                                              <w:divBdr>
                                                                                <w:top w:val="none" w:sz="0" w:space="0" w:color="auto"/>
                                                                                <w:left w:val="none" w:sz="0" w:space="0" w:color="auto"/>
                                                                                <w:bottom w:val="none" w:sz="0" w:space="0" w:color="auto"/>
                                                                                <w:right w:val="none" w:sz="0" w:space="0" w:color="auto"/>
                                                                              </w:divBdr>
                                                                              <w:divsChild>
                                                                                <w:div w:id="1608928553">
                                                                                  <w:marLeft w:val="180"/>
                                                                                  <w:marRight w:val="180"/>
                                                                                  <w:marTop w:val="0"/>
                                                                                  <w:marBottom w:val="0"/>
                                                                                  <w:divBdr>
                                                                                    <w:top w:val="none" w:sz="0" w:space="0" w:color="auto"/>
                                                                                    <w:left w:val="none" w:sz="0" w:space="0" w:color="auto"/>
                                                                                    <w:bottom w:val="none" w:sz="0" w:space="0" w:color="auto"/>
                                                                                    <w:right w:val="none" w:sz="0" w:space="0" w:color="auto"/>
                                                                                  </w:divBdr>
                                                                                  <w:divsChild>
                                                                                    <w:div w:id="1312756082">
                                                                                      <w:marLeft w:val="0"/>
                                                                                      <w:marRight w:val="0"/>
                                                                                      <w:marTop w:val="0"/>
                                                                                      <w:marBottom w:val="0"/>
                                                                                      <w:divBdr>
                                                                                        <w:top w:val="none" w:sz="0" w:space="0" w:color="auto"/>
                                                                                        <w:left w:val="none" w:sz="0" w:space="0" w:color="auto"/>
                                                                                        <w:bottom w:val="none" w:sz="0" w:space="0" w:color="auto"/>
                                                                                        <w:right w:val="none" w:sz="0" w:space="0" w:color="auto"/>
                                                                                      </w:divBdr>
                                                                                      <w:divsChild>
                                                                                        <w:div w:id="5102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89038">
      <w:bodyDiv w:val="1"/>
      <w:marLeft w:val="0"/>
      <w:marRight w:val="0"/>
      <w:marTop w:val="0"/>
      <w:marBottom w:val="0"/>
      <w:divBdr>
        <w:top w:val="none" w:sz="0" w:space="0" w:color="auto"/>
        <w:left w:val="none" w:sz="0" w:space="0" w:color="auto"/>
        <w:bottom w:val="none" w:sz="0" w:space="0" w:color="auto"/>
        <w:right w:val="none" w:sz="0" w:space="0" w:color="auto"/>
      </w:divBdr>
    </w:div>
    <w:div w:id="242645243">
      <w:bodyDiv w:val="1"/>
      <w:marLeft w:val="0"/>
      <w:marRight w:val="0"/>
      <w:marTop w:val="0"/>
      <w:marBottom w:val="0"/>
      <w:divBdr>
        <w:top w:val="none" w:sz="0" w:space="0" w:color="auto"/>
        <w:left w:val="none" w:sz="0" w:space="0" w:color="auto"/>
        <w:bottom w:val="none" w:sz="0" w:space="0" w:color="auto"/>
        <w:right w:val="none" w:sz="0" w:space="0" w:color="auto"/>
      </w:divBdr>
      <w:divsChild>
        <w:div w:id="257181391">
          <w:marLeft w:val="274"/>
          <w:marRight w:val="0"/>
          <w:marTop w:val="0"/>
          <w:marBottom w:val="0"/>
          <w:divBdr>
            <w:top w:val="none" w:sz="0" w:space="0" w:color="auto"/>
            <w:left w:val="none" w:sz="0" w:space="0" w:color="auto"/>
            <w:bottom w:val="none" w:sz="0" w:space="0" w:color="auto"/>
            <w:right w:val="none" w:sz="0" w:space="0" w:color="auto"/>
          </w:divBdr>
        </w:div>
      </w:divsChild>
    </w:div>
    <w:div w:id="322440282">
      <w:bodyDiv w:val="1"/>
      <w:marLeft w:val="0"/>
      <w:marRight w:val="0"/>
      <w:marTop w:val="0"/>
      <w:marBottom w:val="0"/>
      <w:divBdr>
        <w:top w:val="none" w:sz="0" w:space="0" w:color="auto"/>
        <w:left w:val="none" w:sz="0" w:space="0" w:color="auto"/>
        <w:bottom w:val="none" w:sz="0" w:space="0" w:color="auto"/>
        <w:right w:val="none" w:sz="0" w:space="0" w:color="auto"/>
      </w:divBdr>
    </w:div>
    <w:div w:id="357123858">
      <w:bodyDiv w:val="1"/>
      <w:marLeft w:val="0"/>
      <w:marRight w:val="0"/>
      <w:marTop w:val="0"/>
      <w:marBottom w:val="0"/>
      <w:divBdr>
        <w:top w:val="none" w:sz="0" w:space="0" w:color="auto"/>
        <w:left w:val="none" w:sz="0" w:space="0" w:color="auto"/>
        <w:bottom w:val="none" w:sz="0" w:space="0" w:color="auto"/>
        <w:right w:val="none" w:sz="0" w:space="0" w:color="auto"/>
      </w:divBdr>
    </w:div>
    <w:div w:id="483814255">
      <w:bodyDiv w:val="1"/>
      <w:marLeft w:val="0"/>
      <w:marRight w:val="0"/>
      <w:marTop w:val="0"/>
      <w:marBottom w:val="0"/>
      <w:divBdr>
        <w:top w:val="none" w:sz="0" w:space="0" w:color="auto"/>
        <w:left w:val="none" w:sz="0" w:space="0" w:color="auto"/>
        <w:bottom w:val="none" w:sz="0" w:space="0" w:color="auto"/>
        <w:right w:val="none" w:sz="0" w:space="0" w:color="auto"/>
      </w:divBdr>
    </w:div>
    <w:div w:id="528181314">
      <w:bodyDiv w:val="1"/>
      <w:marLeft w:val="0"/>
      <w:marRight w:val="0"/>
      <w:marTop w:val="0"/>
      <w:marBottom w:val="0"/>
      <w:divBdr>
        <w:top w:val="none" w:sz="0" w:space="0" w:color="auto"/>
        <w:left w:val="none" w:sz="0" w:space="0" w:color="auto"/>
        <w:bottom w:val="none" w:sz="0" w:space="0" w:color="auto"/>
        <w:right w:val="none" w:sz="0" w:space="0" w:color="auto"/>
      </w:divBdr>
    </w:div>
    <w:div w:id="642201198">
      <w:bodyDiv w:val="1"/>
      <w:marLeft w:val="0"/>
      <w:marRight w:val="0"/>
      <w:marTop w:val="0"/>
      <w:marBottom w:val="0"/>
      <w:divBdr>
        <w:top w:val="none" w:sz="0" w:space="0" w:color="auto"/>
        <w:left w:val="none" w:sz="0" w:space="0" w:color="auto"/>
        <w:bottom w:val="none" w:sz="0" w:space="0" w:color="auto"/>
        <w:right w:val="none" w:sz="0" w:space="0" w:color="auto"/>
      </w:divBdr>
    </w:div>
    <w:div w:id="716010379">
      <w:bodyDiv w:val="1"/>
      <w:marLeft w:val="0"/>
      <w:marRight w:val="0"/>
      <w:marTop w:val="0"/>
      <w:marBottom w:val="0"/>
      <w:divBdr>
        <w:top w:val="none" w:sz="0" w:space="0" w:color="auto"/>
        <w:left w:val="none" w:sz="0" w:space="0" w:color="auto"/>
        <w:bottom w:val="none" w:sz="0" w:space="0" w:color="auto"/>
        <w:right w:val="none" w:sz="0" w:space="0" w:color="auto"/>
      </w:divBdr>
      <w:divsChild>
        <w:div w:id="1433017048">
          <w:marLeft w:val="0"/>
          <w:marRight w:val="0"/>
          <w:marTop w:val="0"/>
          <w:marBottom w:val="0"/>
          <w:divBdr>
            <w:top w:val="none" w:sz="0" w:space="0" w:color="auto"/>
            <w:left w:val="none" w:sz="0" w:space="0" w:color="auto"/>
            <w:bottom w:val="none" w:sz="0" w:space="0" w:color="auto"/>
            <w:right w:val="none" w:sz="0" w:space="0" w:color="auto"/>
          </w:divBdr>
        </w:div>
        <w:div w:id="1747796506">
          <w:marLeft w:val="0"/>
          <w:marRight w:val="0"/>
          <w:marTop w:val="0"/>
          <w:marBottom w:val="0"/>
          <w:divBdr>
            <w:top w:val="none" w:sz="0" w:space="0" w:color="auto"/>
            <w:left w:val="none" w:sz="0" w:space="0" w:color="auto"/>
            <w:bottom w:val="none" w:sz="0" w:space="0" w:color="auto"/>
            <w:right w:val="none" w:sz="0" w:space="0" w:color="auto"/>
          </w:divBdr>
        </w:div>
        <w:div w:id="2115246986">
          <w:marLeft w:val="0"/>
          <w:marRight w:val="0"/>
          <w:marTop w:val="0"/>
          <w:marBottom w:val="0"/>
          <w:divBdr>
            <w:top w:val="none" w:sz="0" w:space="0" w:color="auto"/>
            <w:left w:val="none" w:sz="0" w:space="0" w:color="auto"/>
            <w:bottom w:val="none" w:sz="0" w:space="0" w:color="auto"/>
            <w:right w:val="none" w:sz="0" w:space="0" w:color="auto"/>
          </w:divBdr>
        </w:div>
        <w:div w:id="58675543">
          <w:marLeft w:val="0"/>
          <w:marRight w:val="0"/>
          <w:marTop w:val="0"/>
          <w:marBottom w:val="0"/>
          <w:divBdr>
            <w:top w:val="none" w:sz="0" w:space="0" w:color="auto"/>
            <w:left w:val="none" w:sz="0" w:space="0" w:color="auto"/>
            <w:bottom w:val="none" w:sz="0" w:space="0" w:color="auto"/>
            <w:right w:val="none" w:sz="0" w:space="0" w:color="auto"/>
          </w:divBdr>
        </w:div>
        <w:div w:id="580911709">
          <w:marLeft w:val="0"/>
          <w:marRight w:val="0"/>
          <w:marTop w:val="0"/>
          <w:marBottom w:val="0"/>
          <w:divBdr>
            <w:top w:val="none" w:sz="0" w:space="0" w:color="auto"/>
            <w:left w:val="none" w:sz="0" w:space="0" w:color="auto"/>
            <w:bottom w:val="none" w:sz="0" w:space="0" w:color="auto"/>
            <w:right w:val="none" w:sz="0" w:space="0" w:color="auto"/>
          </w:divBdr>
        </w:div>
        <w:div w:id="1010646151">
          <w:marLeft w:val="0"/>
          <w:marRight w:val="0"/>
          <w:marTop w:val="0"/>
          <w:marBottom w:val="0"/>
          <w:divBdr>
            <w:top w:val="none" w:sz="0" w:space="0" w:color="auto"/>
            <w:left w:val="none" w:sz="0" w:space="0" w:color="auto"/>
            <w:bottom w:val="none" w:sz="0" w:space="0" w:color="auto"/>
            <w:right w:val="none" w:sz="0" w:space="0" w:color="auto"/>
          </w:divBdr>
        </w:div>
        <w:div w:id="449589505">
          <w:marLeft w:val="0"/>
          <w:marRight w:val="0"/>
          <w:marTop w:val="0"/>
          <w:marBottom w:val="0"/>
          <w:divBdr>
            <w:top w:val="none" w:sz="0" w:space="0" w:color="auto"/>
            <w:left w:val="none" w:sz="0" w:space="0" w:color="auto"/>
            <w:bottom w:val="none" w:sz="0" w:space="0" w:color="auto"/>
            <w:right w:val="none" w:sz="0" w:space="0" w:color="auto"/>
          </w:divBdr>
        </w:div>
        <w:div w:id="141624992">
          <w:marLeft w:val="0"/>
          <w:marRight w:val="0"/>
          <w:marTop w:val="0"/>
          <w:marBottom w:val="0"/>
          <w:divBdr>
            <w:top w:val="none" w:sz="0" w:space="0" w:color="auto"/>
            <w:left w:val="none" w:sz="0" w:space="0" w:color="auto"/>
            <w:bottom w:val="none" w:sz="0" w:space="0" w:color="auto"/>
            <w:right w:val="none" w:sz="0" w:space="0" w:color="auto"/>
          </w:divBdr>
        </w:div>
      </w:divsChild>
    </w:div>
    <w:div w:id="733502225">
      <w:bodyDiv w:val="1"/>
      <w:marLeft w:val="0"/>
      <w:marRight w:val="0"/>
      <w:marTop w:val="0"/>
      <w:marBottom w:val="0"/>
      <w:divBdr>
        <w:top w:val="none" w:sz="0" w:space="0" w:color="auto"/>
        <w:left w:val="none" w:sz="0" w:space="0" w:color="auto"/>
        <w:bottom w:val="none" w:sz="0" w:space="0" w:color="auto"/>
        <w:right w:val="none" w:sz="0" w:space="0" w:color="auto"/>
      </w:divBdr>
      <w:divsChild>
        <w:div w:id="338704598">
          <w:marLeft w:val="0"/>
          <w:marRight w:val="0"/>
          <w:marTop w:val="0"/>
          <w:marBottom w:val="0"/>
          <w:divBdr>
            <w:top w:val="none" w:sz="0" w:space="0" w:color="auto"/>
            <w:left w:val="none" w:sz="0" w:space="0" w:color="auto"/>
            <w:bottom w:val="none" w:sz="0" w:space="0" w:color="auto"/>
            <w:right w:val="none" w:sz="0" w:space="0" w:color="auto"/>
          </w:divBdr>
        </w:div>
        <w:div w:id="2105108884">
          <w:marLeft w:val="0"/>
          <w:marRight w:val="0"/>
          <w:marTop w:val="0"/>
          <w:marBottom w:val="0"/>
          <w:divBdr>
            <w:top w:val="none" w:sz="0" w:space="0" w:color="auto"/>
            <w:left w:val="none" w:sz="0" w:space="0" w:color="auto"/>
            <w:bottom w:val="none" w:sz="0" w:space="0" w:color="auto"/>
            <w:right w:val="none" w:sz="0" w:space="0" w:color="auto"/>
          </w:divBdr>
        </w:div>
        <w:div w:id="1738162271">
          <w:marLeft w:val="0"/>
          <w:marRight w:val="0"/>
          <w:marTop w:val="0"/>
          <w:marBottom w:val="0"/>
          <w:divBdr>
            <w:top w:val="none" w:sz="0" w:space="0" w:color="auto"/>
            <w:left w:val="none" w:sz="0" w:space="0" w:color="auto"/>
            <w:bottom w:val="none" w:sz="0" w:space="0" w:color="auto"/>
            <w:right w:val="none" w:sz="0" w:space="0" w:color="auto"/>
          </w:divBdr>
        </w:div>
        <w:div w:id="681589648">
          <w:marLeft w:val="0"/>
          <w:marRight w:val="0"/>
          <w:marTop w:val="0"/>
          <w:marBottom w:val="0"/>
          <w:divBdr>
            <w:top w:val="none" w:sz="0" w:space="0" w:color="auto"/>
            <w:left w:val="none" w:sz="0" w:space="0" w:color="auto"/>
            <w:bottom w:val="none" w:sz="0" w:space="0" w:color="auto"/>
            <w:right w:val="none" w:sz="0" w:space="0" w:color="auto"/>
          </w:divBdr>
        </w:div>
      </w:divsChild>
    </w:div>
    <w:div w:id="752162062">
      <w:bodyDiv w:val="1"/>
      <w:marLeft w:val="0"/>
      <w:marRight w:val="0"/>
      <w:marTop w:val="0"/>
      <w:marBottom w:val="0"/>
      <w:divBdr>
        <w:top w:val="none" w:sz="0" w:space="0" w:color="auto"/>
        <w:left w:val="none" w:sz="0" w:space="0" w:color="auto"/>
        <w:bottom w:val="none" w:sz="0" w:space="0" w:color="auto"/>
        <w:right w:val="none" w:sz="0" w:space="0" w:color="auto"/>
      </w:divBdr>
    </w:div>
    <w:div w:id="1069427747">
      <w:bodyDiv w:val="1"/>
      <w:marLeft w:val="0"/>
      <w:marRight w:val="0"/>
      <w:marTop w:val="0"/>
      <w:marBottom w:val="0"/>
      <w:divBdr>
        <w:top w:val="none" w:sz="0" w:space="0" w:color="auto"/>
        <w:left w:val="none" w:sz="0" w:space="0" w:color="auto"/>
        <w:bottom w:val="none" w:sz="0" w:space="0" w:color="auto"/>
        <w:right w:val="none" w:sz="0" w:space="0" w:color="auto"/>
      </w:divBdr>
    </w:div>
    <w:div w:id="1076170392">
      <w:bodyDiv w:val="1"/>
      <w:marLeft w:val="0"/>
      <w:marRight w:val="0"/>
      <w:marTop w:val="0"/>
      <w:marBottom w:val="0"/>
      <w:divBdr>
        <w:top w:val="none" w:sz="0" w:space="0" w:color="auto"/>
        <w:left w:val="none" w:sz="0" w:space="0" w:color="auto"/>
        <w:bottom w:val="none" w:sz="0" w:space="0" w:color="auto"/>
        <w:right w:val="none" w:sz="0" w:space="0" w:color="auto"/>
      </w:divBdr>
      <w:divsChild>
        <w:div w:id="1144814495">
          <w:marLeft w:val="274"/>
          <w:marRight w:val="0"/>
          <w:marTop w:val="0"/>
          <w:marBottom w:val="0"/>
          <w:divBdr>
            <w:top w:val="none" w:sz="0" w:space="0" w:color="auto"/>
            <w:left w:val="none" w:sz="0" w:space="0" w:color="auto"/>
            <w:bottom w:val="none" w:sz="0" w:space="0" w:color="auto"/>
            <w:right w:val="none" w:sz="0" w:space="0" w:color="auto"/>
          </w:divBdr>
        </w:div>
        <w:div w:id="1708068751">
          <w:marLeft w:val="274"/>
          <w:marRight w:val="0"/>
          <w:marTop w:val="0"/>
          <w:marBottom w:val="0"/>
          <w:divBdr>
            <w:top w:val="none" w:sz="0" w:space="0" w:color="auto"/>
            <w:left w:val="none" w:sz="0" w:space="0" w:color="auto"/>
            <w:bottom w:val="none" w:sz="0" w:space="0" w:color="auto"/>
            <w:right w:val="none" w:sz="0" w:space="0" w:color="auto"/>
          </w:divBdr>
        </w:div>
        <w:div w:id="1996060835">
          <w:marLeft w:val="274"/>
          <w:marRight w:val="0"/>
          <w:marTop w:val="0"/>
          <w:marBottom w:val="0"/>
          <w:divBdr>
            <w:top w:val="none" w:sz="0" w:space="0" w:color="auto"/>
            <w:left w:val="none" w:sz="0" w:space="0" w:color="auto"/>
            <w:bottom w:val="none" w:sz="0" w:space="0" w:color="auto"/>
            <w:right w:val="none" w:sz="0" w:space="0" w:color="auto"/>
          </w:divBdr>
        </w:div>
      </w:divsChild>
    </w:div>
    <w:div w:id="1127160812">
      <w:bodyDiv w:val="1"/>
      <w:marLeft w:val="0"/>
      <w:marRight w:val="0"/>
      <w:marTop w:val="0"/>
      <w:marBottom w:val="0"/>
      <w:divBdr>
        <w:top w:val="none" w:sz="0" w:space="0" w:color="auto"/>
        <w:left w:val="none" w:sz="0" w:space="0" w:color="auto"/>
        <w:bottom w:val="none" w:sz="0" w:space="0" w:color="auto"/>
        <w:right w:val="none" w:sz="0" w:space="0" w:color="auto"/>
      </w:divBdr>
    </w:div>
    <w:div w:id="1144618114">
      <w:bodyDiv w:val="1"/>
      <w:marLeft w:val="0"/>
      <w:marRight w:val="0"/>
      <w:marTop w:val="0"/>
      <w:marBottom w:val="0"/>
      <w:divBdr>
        <w:top w:val="none" w:sz="0" w:space="0" w:color="auto"/>
        <w:left w:val="none" w:sz="0" w:space="0" w:color="auto"/>
        <w:bottom w:val="none" w:sz="0" w:space="0" w:color="auto"/>
        <w:right w:val="none" w:sz="0" w:space="0" w:color="auto"/>
      </w:divBdr>
      <w:divsChild>
        <w:div w:id="1817797070">
          <w:marLeft w:val="274"/>
          <w:marRight w:val="0"/>
          <w:marTop w:val="0"/>
          <w:marBottom w:val="0"/>
          <w:divBdr>
            <w:top w:val="none" w:sz="0" w:space="0" w:color="auto"/>
            <w:left w:val="none" w:sz="0" w:space="0" w:color="auto"/>
            <w:bottom w:val="none" w:sz="0" w:space="0" w:color="auto"/>
            <w:right w:val="none" w:sz="0" w:space="0" w:color="auto"/>
          </w:divBdr>
        </w:div>
      </w:divsChild>
    </w:div>
    <w:div w:id="1221676411">
      <w:bodyDiv w:val="1"/>
      <w:marLeft w:val="0"/>
      <w:marRight w:val="0"/>
      <w:marTop w:val="0"/>
      <w:marBottom w:val="0"/>
      <w:divBdr>
        <w:top w:val="none" w:sz="0" w:space="0" w:color="auto"/>
        <w:left w:val="none" w:sz="0" w:space="0" w:color="auto"/>
        <w:bottom w:val="none" w:sz="0" w:space="0" w:color="auto"/>
        <w:right w:val="none" w:sz="0" w:space="0" w:color="auto"/>
      </w:divBdr>
    </w:div>
    <w:div w:id="1234898862">
      <w:bodyDiv w:val="1"/>
      <w:marLeft w:val="0"/>
      <w:marRight w:val="0"/>
      <w:marTop w:val="0"/>
      <w:marBottom w:val="0"/>
      <w:divBdr>
        <w:top w:val="none" w:sz="0" w:space="0" w:color="auto"/>
        <w:left w:val="none" w:sz="0" w:space="0" w:color="auto"/>
        <w:bottom w:val="none" w:sz="0" w:space="0" w:color="auto"/>
        <w:right w:val="none" w:sz="0" w:space="0" w:color="auto"/>
      </w:divBdr>
    </w:div>
    <w:div w:id="1267275203">
      <w:bodyDiv w:val="1"/>
      <w:marLeft w:val="0"/>
      <w:marRight w:val="0"/>
      <w:marTop w:val="0"/>
      <w:marBottom w:val="0"/>
      <w:divBdr>
        <w:top w:val="none" w:sz="0" w:space="0" w:color="auto"/>
        <w:left w:val="none" w:sz="0" w:space="0" w:color="auto"/>
        <w:bottom w:val="none" w:sz="0" w:space="0" w:color="auto"/>
        <w:right w:val="none" w:sz="0" w:space="0" w:color="auto"/>
      </w:divBdr>
      <w:divsChild>
        <w:div w:id="185367798">
          <w:marLeft w:val="547"/>
          <w:marRight w:val="0"/>
          <w:marTop w:val="0"/>
          <w:marBottom w:val="0"/>
          <w:divBdr>
            <w:top w:val="none" w:sz="0" w:space="0" w:color="auto"/>
            <w:left w:val="none" w:sz="0" w:space="0" w:color="auto"/>
            <w:bottom w:val="none" w:sz="0" w:space="0" w:color="auto"/>
            <w:right w:val="none" w:sz="0" w:space="0" w:color="auto"/>
          </w:divBdr>
        </w:div>
        <w:div w:id="1951089982">
          <w:marLeft w:val="547"/>
          <w:marRight w:val="0"/>
          <w:marTop w:val="0"/>
          <w:marBottom w:val="0"/>
          <w:divBdr>
            <w:top w:val="none" w:sz="0" w:space="0" w:color="auto"/>
            <w:left w:val="none" w:sz="0" w:space="0" w:color="auto"/>
            <w:bottom w:val="none" w:sz="0" w:space="0" w:color="auto"/>
            <w:right w:val="none" w:sz="0" w:space="0" w:color="auto"/>
          </w:divBdr>
        </w:div>
        <w:div w:id="148518373">
          <w:marLeft w:val="1267"/>
          <w:marRight w:val="0"/>
          <w:marTop w:val="0"/>
          <w:marBottom w:val="0"/>
          <w:divBdr>
            <w:top w:val="none" w:sz="0" w:space="0" w:color="auto"/>
            <w:left w:val="none" w:sz="0" w:space="0" w:color="auto"/>
            <w:bottom w:val="none" w:sz="0" w:space="0" w:color="auto"/>
            <w:right w:val="none" w:sz="0" w:space="0" w:color="auto"/>
          </w:divBdr>
        </w:div>
        <w:div w:id="368070205">
          <w:marLeft w:val="1267"/>
          <w:marRight w:val="0"/>
          <w:marTop w:val="0"/>
          <w:marBottom w:val="0"/>
          <w:divBdr>
            <w:top w:val="none" w:sz="0" w:space="0" w:color="auto"/>
            <w:left w:val="none" w:sz="0" w:space="0" w:color="auto"/>
            <w:bottom w:val="none" w:sz="0" w:space="0" w:color="auto"/>
            <w:right w:val="none" w:sz="0" w:space="0" w:color="auto"/>
          </w:divBdr>
        </w:div>
        <w:div w:id="654647274">
          <w:marLeft w:val="1267"/>
          <w:marRight w:val="0"/>
          <w:marTop w:val="0"/>
          <w:marBottom w:val="0"/>
          <w:divBdr>
            <w:top w:val="none" w:sz="0" w:space="0" w:color="auto"/>
            <w:left w:val="none" w:sz="0" w:space="0" w:color="auto"/>
            <w:bottom w:val="none" w:sz="0" w:space="0" w:color="auto"/>
            <w:right w:val="none" w:sz="0" w:space="0" w:color="auto"/>
          </w:divBdr>
        </w:div>
        <w:div w:id="544874402">
          <w:marLeft w:val="1267"/>
          <w:marRight w:val="0"/>
          <w:marTop w:val="0"/>
          <w:marBottom w:val="0"/>
          <w:divBdr>
            <w:top w:val="none" w:sz="0" w:space="0" w:color="auto"/>
            <w:left w:val="none" w:sz="0" w:space="0" w:color="auto"/>
            <w:bottom w:val="none" w:sz="0" w:space="0" w:color="auto"/>
            <w:right w:val="none" w:sz="0" w:space="0" w:color="auto"/>
          </w:divBdr>
        </w:div>
        <w:div w:id="289357533">
          <w:marLeft w:val="1267"/>
          <w:marRight w:val="0"/>
          <w:marTop w:val="0"/>
          <w:marBottom w:val="0"/>
          <w:divBdr>
            <w:top w:val="none" w:sz="0" w:space="0" w:color="auto"/>
            <w:left w:val="none" w:sz="0" w:space="0" w:color="auto"/>
            <w:bottom w:val="none" w:sz="0" w:space="0" w:color="auto"/>
            <w:right w:val="none" w:sz="0" w:space="0" w:color="auto"/>
          </w:divBdr>
        </w:div>
      </w:divsChild>
    </w:div>
    <w:div w:id="1412659796">
      <w:bodyDiv w:val="1"/>
      <w:marLeft w:val="0"/>
      <w:marRight w:val="0"/>
      <w:marTop w:val="0"/>
      <w:marBottom w:val="0"/>
      <w:divBdr>
        <w:top w:val="none" w:sz="0" w:space="0" w:color="auto"/>
        <w:left w:val="none" w:sz="0" w:space="0" w:color="auto"/>
        <w:bottom w:val="none" w:sz="0" w:space="0" w:color="auto"/>
        <w:right w:val="none" w:sz="0" w:space="0" w:color="auto"/>
      </w:divBdr>
      <w:divsChild>
        <w:div w:id="1842158913">
          <w:marLeft w:val="274"/>
          <w:marRight w:val="0"/>
          <w:marTop w:val="0"/>
          <w:marBottom w:val="0"/>
          <w:divBdr>
            <w:top w:val="none" w:sz="0" w:space="0" w:color="auto"/>
            <w:left w:val="none" w:sz="0" w:space="0" w:color="auto"/>
            <w:bottom w:val="none" w:sz="0" w:space="0" w:color="auto"/>
            <w:right w:val="none" w:sz="0" w:space="0" w:color="auto"/>
          </w:divBdr>
        </w:div>
      </w:divsChild>
    </w:div>
    <w:div w:id="1424648647">
      <w:bodyDiv w:val="1"/>
      <w:marLeft w:val="0"/>
      <w:marRight w:val="0"/>
      <w:marTop w:val="0"/>
      <w:marBottom w:val="0"/>
      <w:divBdr>
        <w:top w:val="none" w:sz="0" w:space="0" w:color="auto"/>
        <w:left w:val="none" w:sz="0" w:space="0" w:color="auto"/>
        <w:bottom w:val="none" w:sz="0" w:space="0" w:color="auto"/>
        <w:right w:val="none" w:sz="0" w:space="0" w:color="auto"/>
      </w:divBdr>
    </w:div>
    <w:div w:id="1482119626">
      <w:bodyDiv w:val="1"/>
      <w:marLeft w:val="0"/>
      <w:marRight w:val="0"/>
      <w:marTop w:val="0"/>
      <w:marBottom w:val="0"/>
      <w:divBdr>
        <w:top w:val="none" w:sz="0" w:space="0" w:color="auto"/>
        <w:left w:val="none" w:sz="0" w:space="0" w:color="auto"/>
        <w:bottom w:val="none" w:sz="0" w:space="0" w:color="auto"/>
        <w:right w:val="none" w:sz="0" w:space="0" w:color="auto"/>
      </w:divBdr>
    </w:div>
    <w:div w:id="1487237701">
      <w:bodyDiv w:val="1"/>
      <w:marLeft w:val="0"/>
      <w:marRight w:val="0"/>
      <w:marTop w:val="0"/>
      <w:marBottom w:val="0"/>
      <w:divBdr>
        <w:top w:val="none" w:sz="0" w:space="0" w:color="auto"/>
        <w:left w:val="none" w:sz="0" w:space="0" w:color="auto"/>
        <w:bottom w:val="none" w:sz="0" w:space="0" w:color="auto"/>
        <w:right w:val="none" w:sz="0" w:space="0" w:color="auto"/>
      </w:divBdr>
    </w:div>
    <w:div w:id="1505318548">
      <w:bodyDiv w:val="1"/>
      <w:marLeft w:val="0"/>
      <w:marRight w:val="0"/>
      <w:marTop w:val="0"/>
      <w:marBottom w:val="0"/>
      <w:divBdr>
        <w:top w:val="none" w:sz="0" w:space="0" w:color="auto"/>
        <w:left w:val="none" w:sz="0" w:space="0" w:color="auto"/>
        <w:bottom w:val="none" w:sz="0" w:space="0" w:color="auto"/>
        <w:right w:val="none" w:sz="0" w:space="0" w:color="auto"/>
      </w:divBdr>
    </w:div>
    <w:div w:id="1639872839">
      <w:bodyDiv w:val="1"/>
      <w:marLeft w:val="0"/>
      <w:marRight w:val="0"/>
      <w:marTop w:val="0"/>
      <w:marBottom w:val="0"/>
      <w:divBdr>
        <w:top w:val="none" w:sz="0" w:space="0" w:color="auto"/>
        <w:left w:val="none" w:sz="0" w:space="0" w:color="auto"/>
        <w:bottom w:val="none" w:sz="0" w:space="0" w:color="auto"/>
        <w:right w:val="none" w:sz="0" w:space="0" w:color="auto"/>
      </w:divBdr>
      <w:divsChild>
        <w:div w:id="1645039307">
          <w:marLeft w:val="274"/>
          <w:marRight w:val="0"/>
          <w:marTop w:val="0"/>
          <w:marBottom w:val="0"/>
          <w:divBdr>
            <w:top w:val="none" w:sz="0" w:space="0" w:color="auto"/>
            <w:left w:val="none" w:sz="0" w:space="0" w:color="auto"/>
            <w:bottom w:val="none" w:sz="0" w:space="0" w:color="auto"/>
            <w:right w:val="none" w:sz="0" w:space="0" w:color="auto"/>
          </w:divBdr>
        </w:div>
      </w:divsChild>
    </w:div>
    <w:div w:id="1674724355">
      <w:bodyDiv w:val="1"/>
      <w:marLeft w:val="0"/>
      <w:marRight w:val="0"/>
      <w:marTop w:val="0"/>
      <w:marBottom w:val="0"/>
      <w:divBdr>
        <w:top w:val="none" w:sz="0" w:space="0" w:color="auto"/>
        <w:left w:val="none" w:sz="0" w:space="0" w:color="auto"/>
        <w:bottom w:val="none" w:sz="0" w:space="0" w:color="auto"/>
        <w:right w:val="none" w:sz="0" w:space="0" w:color="auto"/>
      </w:divBdr>
    </w:div>
    <w:div w:id="1704090660">
      <w:bodyDiv w:val="1"/>
      <w:marLeft w:val="0"/>
      <w:marRight w:val="0"/>
      <w:marTop w:val="0"/>
      <w:marBottom w:val="0"/>
      <w:divBdr>
        <w:top w:val="none" w:sz="0" w:space="0" w:color="auto"/>
        <w:left w:val="none" w:sz="0" w:space="0" w:color="auto"/>
        <w:bottom w:val="none" w:sz="0" w:space="0" w:color="auto"/>
        <w:right w:val="none" w:sz="0" w:space="0" w:color="auto"/>
      </w:divBdr>
      <w:divsChild>
        <w:div w:id="1481187019">
          <w:marLeft w:val="274"/>
          <w:marRight w:val="0"/>
          <w:marTop w:val="0"/>
          <w:marBottom w:val="0"/>
          <w:divBdr>
            <w:top w:val="none" w:sz="0" w:space="0" w:color="auto"/>
            <w:left w:val="none" w:sz="0" w:space="0" w:color="auto"/>
            <w:bottom w:val="none" w:sz="0" w:space="0" w:color="auto"/>
            <w:right w:val="none" w:sz="0" w:space="0" w:color="auto"/>
          </w:divBdr>
        </w:div>
      </w:divsChild>
    </w:div>
    <w:div w:id="1744989698">
      <w:bodyDiv w:val="1"/>
      <w:marLeft w:val="0"/>
      <w:marRight w:val="0"/>
      <w:marTop w:val="0"/>
      <w:marBottom w:val="0"/>
      <w:divBdr>
        <w:top w:val="none" w:sz="0" w:space="0" w:color="auto"/>
        <w:left w:val="none" w:sz="0" w:space="0" w:color="auto"/>
        <w:bottom w:val="none" w:sz="0" w:space="0" w:color="auto"/>
        <w:right w:val="none" w:sz="0" w:space="0" w:color="auto"/>
      </w:divBdr>
    </w:div>
    <w:div w:id="1756896128">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4">
          <w:marLeft w:val="288"/>
          <w:marRight w:val="0"/>
          <w:marTop w:val="168"/>
          <w:marBottom w:val="0"/>
          <w:divBdr>
            <w:top w:val="none" w:sz="0" w:space="0" w:color="auto"/>
            <w:left w:val="none" w:sz="0" w:space="0" w:color="auto"/>
            <w:bottom w:val="none" w:sz="0" w:space="0" w:color="auto"/>
            <w:right w:val="none" w:sz="0" w:space="0" w:color="auto"/>
          </w:divBdr>
        </w:div>
        <w:div w:id="922760353">
          <w:marLeft w:val="288"/>
          <w:marRight w:val="0"/>
          <w:marTop w:val="168"/>
          <w:marBottom w:val="0"/>
          <w:divBdr>
            <w:top w:val="none" w:sz="0" w:space="0" w:color="auto"/>
            <w:left w:val="none" w:sz="0" w:space="0" w:color="auto"/>
            <w:bottom w:val="none" w:sz="0" w:space="0" w:color="auto"/>
            <w:right w:val="none" w:sz="0" w:space="0" w:color="auto"/>
          </w:divBdr>
        </w:div>
        <w:div w:id="1620381610">
          <w:marLeft w:val="288"/>
          <w:marRight w:val="0"/>
          <w:marTop w:val="168"/>
          <w:marBottom w:val="0"/>
          <w:divBdr>
            <w:top w:val="none" w:sz="0" w:space="0" w:color="auto"/>
            <w:left w:val="none" w:sz="0" w:space="0" w:color="auto"/>
            <w:bottom w:val="none" w:sz="0" w:space="0" w:color="auto"/>
            <w:right w:val="none" w:sz="0" w:space="0" w:color="auto"/>
          </w:divBdr>
        </w:div>
        <w:div w:id="794829142">
          <w:marLeft w:val="288"/>
          <w:marRight w:val="0"/>
          <w:marTop w:val="168"/>
          <w:marBottom w:val="0"/>
          <w:divBdr>
            <w:top w:val="none" w:sz="0" w:space="0" w:color="auto"/>
            <w:left w:val="none" w:sz="0" w:space="0" w:color="auto"/>
            <w:bottom w:val="none" w:sz="0" w:space="0" w:color="auto"/>
            <w:right w:val="none" w:sz="0" w:space="0" w:color="auto"/>
          </w:divBdr>
        </w:div>
        <w:div w:id="1631008170">
          <w:marLeft w:val="288"/>
          <w:marRight w:val="0"/>
          <w:marTop w:val="168"/>
          <w:marBottom w:val="0"/>
          <w:divBdr>
            <w:top w:val="none" w:sz="0" w:space="0" w:color="auto"/>
            <w:left w:val="none" w:sz="0" w:space="0" w:color="auto"/>
            <w:bottom w:val="none" w:sz="0" w:space="0" w:color="auto"/>
            <w:right w:val="none" w:sz="0" w:space="0" w:color="auto"/>
          </w:divBdr>
        </w:div>
        <w:div w:id="373846576">
          <w:marLeft w:val="288"/>
          <w:marRight w:val="0"/>
          <w:marTop w:val="168"/>
          <w:marBottom w:val="0"/>
          <w:divBdr>
            <w:top w:val="none" w:sz="0" w:space="0" w:color="auto"/>
            <w:left w:val="none" w:sz="0" w:space="0" w:color="auto"/>
            <w:bottom w:val="none" w:sz="0" w:space="0" w:color="auto"/>
            <w:right w:val="none" w:sz="0" w:space="0" w:color="auto"/>
          </w:divBdr>
        </w:div>
        <w:div w:id="81798309">
          <w:marLeft w:val="288"/>
          <w:marRight w:val="0"/>
          <w:marTop w:val="168"/>
          <w:marBottom w:val="0"/>
          <w:divBdr>
            <w:top w:val="none" w:sz="0" w:space="0" w:color="auto"/>
            <w:left w:val="none" w:sz="0" w:space="0" w:color="auto"/>
            <w:bottom w:val="none" w:sz="0" w:space="0" w:color="auto"/>
            <w:right w:val="none" w:sz="0" w:space="0" w:color="auto"/>
          </w:divBdr>
        </w:div>
        <w:div w:id="1414663315">
          <w:marLeft w:val="288"/>
          <w:marRight w:val="0"/>
          <w:marTop w:val="168"/>
          <w:marBottom w:val="0"/>
          <w:divBdr>
            <w:top w:val="none" w:sz="0" w:space="0" w:color="auto"/>
            <w:left w:val="none" w:sz="0" w:space="0" w:color="auto"/>
            <w:bottom w:val="none" w:sz="0" w:space="0" w:color="auto"/>
            <w:right w:val="none" w:sz="0" w:space="0" w:color="auto"/>
          </w:divBdr>
        </w:div>
      </w:divsChild>
    </w:div>
    <w:div w:id="1770589017">
      <w:bodyDiv w:val="1"/>
      <w:marLeft w:val="0"/>
      <w:marRight w:val="0"/>
      <w:marTop w:val="0"/>
      <w:marBottom w:val="0"/>
      <w:divBdr>
        <w:top w:val="none" w:sz="0" w:space="0" w:color="auto"/>
        <w:left w:val="none" w:sz="0" w:space="0" w:color="auto"/>
        <w:bottom w:val="none" w:sz="0" w:space="0" w:color="auto"/>
        <w:right w:val="none" w:sz="0" w:space="0" w:color="auto"/>
      </w:divBdr>
    </w:div>
    <w:div w:id="1785343597">
      <w:bodyDiv w:val="1"/>
      <w:marLeft w:val="0"/>
      <w:marRight w:val="0"/>
      <w:marTop w:val="0"/>
      <w:marBottom w:val="0"/>
      <w:divBdr>
        <w:top w:val="none" w:sz="0" w:space="0" w:color="auto"/>
        <w:left w:val="none" w:sz="0" w:space="0" w:color="auto"/>
        <w:bottom w:val="none" w:sz="0" w:space="0" w:color="auto"/>
        <w:right w:val="none" w:sz="0" w:space="0" w:color="auto"/>
      </w:divBdr>
    </w:div>
    <w:div w:id="1787381771">
      <w:bodyDiv w:val="1"/>
      <w:marLeft w:val="0"/>
      <w:marRight w:val="0"/>
      <w:marTop w:val="0"/>
      <w:marBottom w:val="0"/>
      <w:divBdr>
        <w:top w:val="none" w:sz="0" w:space="0" w:color="auto"/>
        <w:left w:val="none" w:sz="0" w:space="0" w:color="auto"/>
        <w:bottom w:val="none" w:sz="0" w:space="0" w:color="auto"/>
        <w:right w:val="none" w:sz="0" w:space="0" w:color="auto"/>
      </w:divBdr>
      <w:divsChild>
        <w:div w:id="1766268987">
          <w:marLeft w:val="0"/>
          <w:marRight w:val="0"/>
          <w:marTop w:val="0"/>
          <w:marBottom w:val="0"/>
          <w:divBdr>
            <w:top w:val="none" w:sz="0" w:space="0" w:color="auto"/>
            <w:left w:val="none" w:sz="0" w:space="0" w:color="auto"/>
            <w:bottom w:val="none" w:sz="0" w:space="0" w:color="auto"/>
            <w:right w:val="none" w:sz="0" w:space="0" w:color="auto"/>
          </w:divBdr>
        </w:div>
      </w:divsChild>
    </w:div>
    <w:div w:id="1820607663">
      <w:bodyDiv w:val="1"/>
      <w:marLeft w:val="0"/>
      <w:marRight w:val="0"/>
      <w:marTop w:val="0"/>
      <w:marBottom w:val="0"/>
      <w:divBdr>
        <w:top w:val="none" w:sz="0" w:space="0" w:color="auto"/>
        <w:left w:val="none" w:sz="0" w:space="0" w:color="auto"/>
        <w:bottom w:val="none" w:sz="0" w:space="0" w:color="auto"/>
        <w:right w:val="none" w:sz="0" w:space="0" w:color="auto"/>
      </w:divBdr>
    </w:div>
    <w:div w:id="1891838149">
      <w:bodyDiv w:val="1"/>
      <w:marLeft w:val="0"/>
      <w:marRight w:val="0"/>
      <w:marTop w:val="0"/>
      <w:marBottom w:val="0"/>
      <w:divBdr>
        <w:top w:val="none" w:sz="0" w:space="0" w:color="auto"/>
        <w:left w:val="none" w:sz="0" w:space="0" w:color="auto"/>
        <w:bottom w:val="none" w:sz="0" w:space="0" w:color="auto"/>
        <w:right w:val="none" w:sz="0" w:space="0" w:color="auto"/>
      </w:divBdr>
    </w:div>
    <w:div w:id="20247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2382-E34A-4F55-A3B3-024B5CE4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TEMAS A TRATAR CON LA CONAGUA</vt:lpstr>
    </vt:vector>
  </TitlesOfParts>
  <Company>Hewlett-Packard</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TEMAS A TRATAR CON LA CONAGUA</dc:title>
  <dc:creator>Sandoval Sánchez Nancy</dc:creator>
  <cp:lastModifiedBy>Jaime Lepe José Manuel</cp:lastModifiedBy>
  <cp:revision>2</cp:revision>
  <cp:lastPrinted>2017-02-07T22:27:00Z</cp:lastPrinted>
  <dcterms:created xsi:type="dcterms:W3CDTF">2020-08-18T14:47:00Z</dcterms:created>
  <dcterms:modified xsi:type="dcterms:W3CDTF">2020-08-18T14:47:00Z</dcterms:modified>
</cp:coreProperties>
</file>