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19C" w:rsidRDefault="00E94E4B" w:rsidP="001C5369">
      <w:pPr>
        <w:spacing w:before="120"/>
        <w:ind w:left="360"/>
        <w:jc w:val="both"/>
        <w:rPr>
          <w:rFonts w:ascii="Adobe Caslon Pro" w:hAnsi="Adobe Caslon Pro"/>
          <w:sz w:val="18"/>
          <w:szCs w:val="18"/>
          <w:lang w:val="es-MX"/>
        </w:rPr>
      </w:pPr>
      <w:r w:rsidRPr="00E94E4B">
        <w:rPr>
          <w:rFonts w:ascii="Adobe Caslon Pro" w:hAnsi="Adobe Caslon Pro"/>
          <w:b/>
          <w:bCs/>
          <w:iCs/>
          <w:sz w:val="18"/>
          <w:szCs w:val="18"/>
          <w:lang w:val="es-MX"/>
        </w:rPr>
        <w:t xml:space="preserve">4. Marco jurídico y normativo aplicable a la gestión integral de riesgos, respecto del diseño e implementación de la política pública desarrollo urbano y ordenamiento territorial. </w:t>
      </w:r>
      <w:proofErr w:type="gramStart"/>
      <w:r w:rsidRPr="00E94E4B">
        <w:rPr>
          <w:rFonts w:ascii="Adobe Caslon Pro" w:hAnsi="Adobe Caslon Pro"/>
          <w:b/>
          <w:bCs/>
          <w:iCs/>
          <w:sz w:val="18"/>
          <w:szCs w:val="18"/>
          <w:lang w:val="es-MX"/>
        </w:rPr>
        <w:t>en</w:t>
      </w:r>
      <w:proofErr w:type="gramEnd"/>
      <w:r w:rsidRPr="00E94E4B">
        <w:rPr>
          <w:rFonts w:ascii="Adobe Caslon Pro" w:hAnsi="Adobe Caslon Pro"/>
          <w:b/>
          <w:bCs/>
          <w:iCs/>
          <w:sz w:val="18"/>
          <w:szCs w:val="18"/>
          <w:lang w:val="es-MX"/>
        </w:rPr>
        <w:t xml:space="preserve"> el periodo 2013-2017 integrado por: leyes, reglamentos, acuerdos, decretos, planes y programas de mediano plazo, manuales, estatutos, reglas de operación, lineamientos, políticas, circulares, entre otros.</w:t>
      </w:r>
      <w:r>
        <w:rPr>
          <w:rFonts w:ascii="Adobe Caslon Pro" w:hAnsi="Adobe Caslon Pro"/>
          <w:b/>
          <w:bCs/>
          <w:iCs/>
          <w:sz w:val="18"/>
          <w:szCs w:val="18"/>
          <w:lang w:val="es-MX"/>
        </w:rPr>
        <w:tab/>
      </w:r>
      <w:bookmarkStart w:id="0" w:name="_GoBack"/>
      <w:bookmarkEnd w:id="0"/>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1.</w:t>
      </w:r>
      <w:r w:rsidRPr="00BE0E69">
        <w:rPr>
          <w:rFonts w:ascii="Adobe Caslon Pro" w:hAnsi="Adobe Caslon Pro"/>
          <w:sz w:val="18"/>
          <w:szCs w:val="18"/>
        </w:rPr>
        <w:tab/>
        <w:t xml:space="preserve">Constitución Política de los Estados Unidos </w:t>
      </w:r>
      <w:proofErr w:type="gramStart"/>
      <w:r w:rsidRPr="00BE0E69">
        <w:rPr>
          <w:rFonts w:ascii="Adobe Caslon Pro" w:hAnsi="Adobe Caslon Pro"/>
          <w:sz w:val="18"/>
          <w:szCs w:val="18"/>
        </w:rPr>
        <w:t>Mexicanos</w:t>
      </w:r>
      <w:proofErr w:type="gramEnd"/>
      <w:r w:rsidRPr="00BE0E69">
        <w:rPr>
          <w:rFonts w:ascii="Adobe Caslon Pro" w:hAnsi="Adobe Caslon Pro"/>
          <w:sz w:val="18"/>
          <w:szCs w:val="18"/>
        </w:rPr>
        <w:t>;</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2.</w:t>
      </w:r>
      <w:r w:rsidRPr="00BE0E69">
        <w:rPr>
          <w:rFonts w:ascii="Adobe Caslon Pro" w:hAnsi="Adobe Caslon Pro"/>
          <w:sz w:val="18"/>
          <w:szCs w:val="18"/>
        </w:rPr>
        <w:tab/>
        <w:t>Ley Federal de Archivos;</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3.</w:t>
      </w:r>
      <w:r w:rsidRPr="00BE0E69">
        <w:rPr>
          <w:rFonts w:ascii="Adobe Caslon Pro" w:hAnsi="Adobe Caslon Pro"/>
          <w:sz w:val="18"/>
          <w:szCs w:val="18"/>
        </w:rPr>
        <w:tab/>
        <w:t>Ley Federal de Presupuesto y Responsabilidad Hacendaria;</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4.</w:t>
      </w:r>
      <w:r w:rsidRPr="00BE0E69">
        <w:rPr>
          <w:rFonts w:ascii="Adobe Caslon Pro" w:hAnsi="Adobe Caslon Pro"/>
          <w:sz w:val="18"/>
          <w:szCs w:val="18"/>
        </w:rPr>
        <w:tab/>
        <w:t>Ley Federal de Responsabilidades Administrativas de los Servidores Públicos;</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5.</w:t>
      </w:r>
      <w:r w:rsidRPr="00BE0E69">
        <w:rPr>
          <w:rFonts w:ascii="Adobe Caslon Pro" w:hAnsi="Adobe Caslon Pro"/>
          <w:sz w:val="18"/>
          <w:szCs w:val="18"/>
        </w:rPr>
        <w:tab/>
        <w:t>Ley Federal de Transparencia y Acceso a la Información Pública;</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6.</w:t>
      </w:r>
      <w:r w:rsidRPr="00BE0E69">
        <w:rPr>
          <w:rFonts w:ascii="Adobe Caslon Pro" w:hAnsi="Adobe Caslon Pro"/>
          <w:sz w:val="18"/>
          <w:szCs w:val="18"/>
        </w:rPr>
        <w:tab/>
        <w:t>Ley General de Protección Civil;</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7.</w:t>
      </w:r>
      <w:r w:rsidRPr="00BE0E69">
        <w:rPr>
          <w:rFonts w:ascii="Adobe Caslon Pro" w:hAnsi="Adobe Caslon Pro"/>
          <w:sz w:val="18"/>
          <w:szCs w:val="18"/>
        </w:rPr>
        <w:tab/>
        <w:t>Ley General de Protección de Datos Personales en Posesión de Sujetos Obligados;</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8.</w:t>
      </w:r>
      <w:r w:rsidRPr="00BE0E69">
        <w:rPr>
          <w:rFonts w:ascii="Adobe Caslon Pro" w:hAnsi="Adobe Caslon Pro"/>
          <w:sz w:val="18"/>
          <w:szCs w:val="18"/>
        </w:rPr>
        <w:tab/>
        <w:t>Ley General de Responsabilidades Administrativas;</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9.</w:t>
      </w:r>
      <w:r w:rsidRPr="00BE0E69">
        <w:rPr>
          <w:rFonts w:ascii="Adobe Caslon Pro" w:hAnsi="Adobe Caslon Pro"/>
          <w:sz w:val="18"/>
          <w:szCs w:val="18"/>
        </w:rPr>
        <w:tab/>
        <w:t>Ley General de Transparencia y Acceso a la Información Pública;</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10.</w:t>
      </w:r>
      <w:r w:rsidRPr="00BE0E69">
        <w:rPr>
          <w:rFonts w:ascii="Adobe Caslon Pro" w:hAnsi="Adobe Caslon Pro"/>
          <w:sz w:val="18"/>
          <w:szCs w:val="18"/>
        </w:rPr>
        <w:tab/>
        <w:t>Ley General del Sistema Nacional Anticorrupción;</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11.</w:t>
      </w:r>
      <w:r w:rsidRPr="00BE0E69">
        <w:rPr>
          <w:rFonts w:ascii="Adobe Caslon Pro" w:hAnsi="Adobe Caslon Pro"/>
          <w:sz w:val="18"/>
          <w:szCs w:val="18"/>
        </w:rPr>
        <w:tab/>
        <w:t>Ley Orgánica de la Administración Pública Federal;</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12.</w:t>
      </w:r>
      <w:r w:rsidRPr="00BE0E69">
        <w:rPr>
          <w:rFonts w:ascii="Adobe Caslon Pro" w:hAnsi="Adobe Caslon Pro"/>
          <w:sz w:val="18"/>
          <w:szCs w:val="18"/>
        </w:rPr>
        <w:tab/>
        <w:t>Reglamento de la Ley Federal de Archivos;</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13.</w:t>
      </w:r>
      <w:r w:rsidRPr="00BE0E69">
        <w:rPr>
          <w:rFonts w:ascii="Adobe Caslon Pro" w:hAnsi="Adobe Caslon Pro"/>
          <w:sz w:val="18"/>
          <w:szCs w:val="18"/>
        </w:rPr>
        <w:tab/>
        <w:t>Reglamento de la Ley Federal de Presupuesto y Responsabilidad Hacendaria;</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14.</w:t>
      </w:r>
      <w:r w:rsidRPr="00BE0E69">
        <w:rPr>
          <w:rFonts w:ascii="Adobe Caslon Pro" w:hAnsi="Adobe Caslon Pro"/>
          <w:sz w:val="18"/>
          <w:szCs w:val="18"/>
        </w:rPr>
        <w:tab/>
        <w:t>Reglamento de la Ley General de Protección Civil;</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15.</w:t>
      </w:r>
      <w:r w:rsidRPr="00BE0E69">
        <w:rPr>
          <w:rFonts w:ascii="Adobe Caslon Pro" w:hAnsi="Adobe Caslon Pro"/>
          <w:sz w:val="18"/>
          <w:szCs w:val="18"/>
        </w:rPr>
        <w:tab/>
        <w:t>Reglamento de Uso de Espacios y Equipo de Laboratorio de Estructuras Grandes del Centro Nacional de Prevención de Desastres;</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16.</w:t>
      </w:r>
      <w:r w:rsidRPr="00BE0E69">
        <w:rPr>
          <w:rFonts w:ascii="Adobe Caslon Pro" w:hAnsi="Adobe Caslon Pro"/>
          <w:sz w:val="18"/>
          <w:szCs w:val="18"/>
        </w:rPr>
        <w:tab/>
        <w:t>Reglamento Interior de la Secretaría de Gobernación;</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17.</w:t>
      </w:r>
      <w:r w:rsidRPr="00BE0E69">
        <w:rPr>
          <w:rFonts w:ascii="Adobe Caslon Pro" w:hAnsi="Adobe Caslon Pro"/>
          <w:sz w:val="18"/>
          <w:szCs w:val="18"/>
        </w:rPr>
        <w:tab/>
        <w:t>Reglamento de uso del Laboratorio de Dinámica de Suelos del Centro Nacional de Prevención de Desastres;</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18.</w:t>
      </w:r>
      <w:r w:rsidRPr="00BE0E69">
        <w:rPr>
          <w:rFonts w:ascii="Adobe Caslon Pro" w:hAnsi="Adobe Caslon Pro"/>
          <w:sz w:val="18"/>
          <w:szCs w:val="18"/>
        </w:rPr>
        <w:tab/>
        <w:t xml:space="preserve">Reglamento Interno de Prestadores de Servicio Social, Prácticas Profesionales y </w:t>
      </w:r>
      <w:proofErr w:type="spellStart"/>
      <w:r w:rsidRPr="00BE0E69">
        <w:rPr>
          <w:rFonts w:ascii="Adobe Caslon Pro" w:hAnsi="Adobe Caslon Pro"/>
          <w:sz w:val="18"/>
          <w:szCs w:val="18"/>
        </w:rPr>
        <w:t>Tesistas</w:t>
      </w:r>
      <w:proofErr w:type="spellEnd"/>
      <w:r w:rsidRPr="00BE0E69">
        <w:rPr>
          <w:rFonts w:ascii="Adobe Caslon Pro" w:hAnsi="Adobe Caslon Pro"/>
          <w:sz w:val="18"/>
          <w:szCs w:val="18"/>
        </w:rPr>
        <w:t xml:space="preserve"> en el Centro Nacional de Prevención de Desastres;</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19.</w:t>
      </w:r>
      <w:r w:rsidRPr="00BE0E69">
        <w:rPr>
          <w:rFonts w:ascii="Adobe Caslon Pro" w:hAnsi="Adobe Caslon Pro"/>
          <w:sz w:val="18"/>
          <w:szCs w:val="18"/>
        </w:rPr>
        <w:tab/>
        <w:t>Acuerdo del Consejo Nacional del Sistema Nacional de Transparencia, Acceso a la Información Pública y Protección de Datos Personales, por el que se aprueban los Lineamientos para la elaboración, ejecución y evaluación del Programa Nacional de Transparencia y Acceso a la Información;</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20.</w:t>
      </w:r>
      <w:r w:rsidRPr="00BE0E69">
        <w:rPr>
          <w:rFonts w:ascii="Adobe Caslon Pro" w:hAnsi="Adobe Caslon Pro"/>
          <w:sz w:val="18"/>
          <w:szCs w:val="18"/>
        </w:rPr>
        <w:tab/>
        <w:t>Acuerdo del Consejo Nacional del Sistema Nacional de Transparencia, Acceso a la Información Pública y Protección de Datos Personales, por el que se aprueban los Lineamientos para la implementación y operación de la Plataforma Nacional de Transparencia;</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lastRenderedPageBreak/>
        <w:t>21.</w:t>
      </w:r>
      <w:r w:rsidRPr="00BE0E69">
        <w:rPr>
          <w:rFonts w:ascii="Adobe Caslon Pro" w:hAnsi="Adobe Caslon Pro"/>
          <w:sz w:val="18"/>
          <w:szCs w:val="18"/>
        </w:rPr>
        <w:tab/>
        <w:t>Acuerdo del Consejo Nacional del Sistema Nacional de Transparencia, Acceso a la Información Pública y Protección de Datos Personales, por el que se aprueban los Lineamientos para la Organización y Conservación de los Archivos;</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22.</w:t>
      </w:r>
      <w:r w:rsidRPr="00BE0E69">
        <w:rPr>
          <w:rFonts w:ascii="Adobe Caslon Pro" w:hAnsi="Adobe Caslon Pro"/>
          <w:sz w:val="18"/>
          <w:szCs w:val="18"/>
        </w:rPr>
        <w:tab/>
        <w:t>Acuerdo del Consejo Nacional del Sistema Nacional de Transparencia, Acceso a la Información Pública y Protección de Datos Personales, por el que se aprueban los lineamientos que deberán observar los sujetos obligados para la atención de requerimientos, observaciones, recomendaciones y criterios que emita el Sistema Nacional de Transparencia, Acceso a la Información Pública y Protección de Datos Personales;</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23.</w:t>
      </w:r>
      <w:r w:rsidRPr="00BE0E69">
        <w:rPr>
          <w:rFonts w:ascii="Adobe Caslon Pro" w:hAnsi="Adobe Caslon Pro"/>
          <w:sz w:val="18"/>
          <w:szCs w:val="18"/>
        </w:rPr>
        <w:tab/>
        <w:t>Acuerdo del Consejo Nacional del Sistema Nacional de Transparencia, Acceso a la Información Pública y Protección de Datos Personales, por el que se aprueban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24.</w:t>
      </w:r>
      <w:r w:rsidRPr="00BE0E69">
        <w:rPr>
          <w:rFonts w:ascii="Adobe Caslon Pro" w:hAnsi="Adobe Caslon Pro"/>
          <w:sz w:val="18"/>
          <w:szCs w:val="18"/>
        </w:rPr>
        <w:tab/>
        <w:t>Acuerdo del Consejo Nacional del Sistema Nacional de Transparencia, Acceso a la Información Pública y Protección de Datos Personales, por el que se emiten los Criterios para que los Sujetos Obligados Garanticen Condiciones de Accesibilidad que Permitan el Ejercicio de los Derechos Humanos de Acceso a la Información y Protección de Datos Personales a Grupos Vulnerables;</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25.</w:t>
      </w:r>
      <w:r w:rsidRPr="00BE0E69">
        <w:rPr>
          <w:rFonts w:ascii="Adobe Caslon Pro" w:hAnsi="Adobe Caslon Pro"/>
          <w:sz w:val="18"/>
          <w:szCs w:val="18"/>
        </w:rPr>
        <w:tab/>
        <w:t>Acuerdo mediante el cual el Pleno del Instituto Nacional de Transparencia, Acceso a la Información y Protección de Datos Personales, establece las bases de interpretación y aplicación de la Ley General de Transparencia y Acceso a la Información Pública;</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26.</w:t>
      </w:r>
      <w:r w:rsidRPr="00BE0E69">
        <w:rPr>
          <w:rFonts w:ascii="Adobe Caslon Pro" w:hAnsi="Adobe Caslon Pro"/>
          <w:sz w:val="18"/>
          <w:szCs w:val="18"/>
        </w:rPr>
        <w:tab/>
        <w:t>Acuerdo mediante el cual se aprueban los Lineamientos que establecen los procedimientos internos de atención a solicitudes de acceso a la información pública;</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27.</w:t>
      </w:r>
      <w:r w:rsidRPr="00BE0E69">
        <w:rPr>
          <w:rFonts w:ascii="Adobe Caslon Pro" w:hAnsi="Adobe Caslon Pro"/>
          <w:sz w:val="18"/>
          <w:szCs w:val="18"/>
        </w:rPr>
        <w:tab/>
        <w:t xml:space="preserve">Acuerdo mediante el cual se crean los Comités Científicos Asesores del Sistema Nacional de Protección Civil, como Órganos Técnicos de consulta en la prevención de desastres, originados por Fenómenos Geológicos, </w:t>
      </w:r>
      <w:proofErr w:type="spellStart"/>
      <w:r w:rsidRPr="00BE0E69">
        <w:rPr>
          <w:rFonts w:ascii="Adobe Caslon Pro" w:hAnsi="Adobe Caslon Pro"/>
          <w:sz w:val="18"/>
          <w:szCs w:val="18"/>
        </w:rPr>
        <w:t>Hidrometeorológicos</w:t>
      </w:r>
      <w:proofErr w:type="spellEnd"/>
      <w:r w:rsidRPr="00BE0E69">
        <w:rPr>
          <w:rFonts w:ascii="Adobe Caslon Pro" w:hAnsi="Adobe Caslon Pro"/>
          <w:sz w:val="18"/>
          <w:szCs w:val="18"/>
        </w:rPr>
        <w:t>, Químicos, Sanitarios y Socio-Organizativos;</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28.</w:t>
      </w:r>
      <w:r w:rsidRPr="00BE0E69">
        <w:rPr>
          <w:rFonts w:ascii="Adobe Caslon Pro" w:hAnsi="Adobe Caslon Pro"/>
          <w:sz w:val="18"/>
          <w:szCs w:val="18"/>
        </w:rPr>
        <w:tab/>
        <w:t>Acuerdo Mediante el cual se realizan modificaciones a los formatos establecidos en los Anexos de los Lineamientos Técnicos Generales para la Publicación, Homologación Y Estandarización de la Información de las Obligaciones Establecidas en el Titulo Quinto y en la Fracción IV del Artículo 31 De La Ley General de Transparencia y Acceso a la Información Pública, Que Deben de Difundir los Sujetos Obligados en los Portales de Internet y en la Plataforma Nacional De Transparencia;</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29.</w:t>
      </w:r>
      <w:r w:rsidRPr="00BE0E69">
        <w:rPr>
          <w:rFonts w:ascii="Adobe Caslon Pro" w:hAnsi="Adobe Caslon Pro"/>
          <w:sz w:val="18"/>
          <w:szCs w:val="18"/>
        </w:rPr>
        <w:tab/>
        <w:t>Acuerdo por el que se armoniza la estructura de las cuentas públicas;</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30.</w:t>
      </w:r>
      <w:r w:rsidRPr="00BE0E69">
        <w:rPr>
          <w:rFonts w:ascii="Adobe Caslon Pro" w:hAnsi="Adobe Caslon Pro"/>
          <w:sz w:val="18"/>
          <w:szCs w:val="18"/>
        </w:rPr>
        <w:tab/>
        <w:t>Acuerdo por el que se da a conocer la declaración de la Coordinación General de Protección Civil como Instancia de Seguridad Nacional;</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31.</w:t>
      </w:r>
      <w:r w:rsidRPr="00BE0E69">
        <w:rPr>
          <w:rFonts w:ascii="Adobe Caslon Pro" w:hAnsi="Adobe Caslon Pro"/>
          <w:sz w:val="18"/>
          <w:szCs w:val="18"/>
        </w:rPr>
        <w:tab/>
        <w:t>Acuerdo por el que se emite el Plan Nacional de Respuesta MX de la Administración Pública Federal;</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32.</w:t>
      </w:r>
      <w:r w:rsidRPr="00BE0E69">
        <w:rPr>
          <w:rFonts w:ascii="Adobe Caslon Pro" w:hAnsi="Adobe Caslon Pro"/>
          <w:sz w:val="18"/>
          <w:szCs w:val="18"/>
        </w:rPr>
        <w:tab/>
        <w:t>Acuerdo por el que se emiten las Reglas Generales del Fondo de Desastres Naturales. (FONDEN);</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33.</w:t>
      </w:r>
      <w:r w:rsidRPr="00BE0E69">
        <w:rPr>
          <w:rFonts w:ascii="Adobe Caslon Pro" w:hAnsi="Adobe Caslon Pro"/>
          <w:sz w:val="18"/>
          <w:szCs w:val="18"/>
        </w:rPr>
        <w:tab/>
        <w:t>Acuerdo por el que se establece la Escuela Nacional de Protección Civil;</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lastRenderedPageBreak/>
        <w:t>34.</w:t>
      </w:r>
      <w:r w:rsidRPr="00BE0E69">
        <w:rPr>
          <w:rFonts w:ascii="Adobe Caslon Pro" w:hAnsi="Adobe Caslon Pro"/>
          <w:sz w:val="18"/>
          <w:szCs w:val="18"/>
        </w:rPr>
        <w:tab/>
        <w:t>Acuerdo por el que se establecen las disposiciones en Materia de Recursos Materiales y Servicios Generales;</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35.</w:t>
      </w:r>
      <w:r w:rsidRPr="00BE0E69">
        <w:rPr>
          <w:rFonts w:ascii="Adobe Caslon Pro" w:hAnsi="Adobe Caslon Pro"/>
          <w:sz w:val="18"/>
          <w:szCs w:val="18"/>
        </w:rPr>
        <w:tab/>
        <w:t>Acuerdo por el que se establecen las Reglas de operación del Fondo para la Prevención de Desastres Naturales (FOPREDEN);</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36.</w:t>
      </w:r>
      <w:r w:rsidRPr="00BE0E69">
        <w:rPr>
          <w:rFonts w:ascii="Adobe Caslon Pro" w:hAnsi="Adobe Caslon Pro"/>
          <w:sz w:val="18"/>
          <w:szCs w:val="18"/>
        </w:rPr>
        <w:tab/>
        <w:t>Acuerdo por el que se establecen los Lineamientos del Fondo para la Atención de Emergencias FONDEN;</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37.</w:t>
      </w:r>
      <w:r w:rsidRPr="00BE0E69">
        <w:rPr>
          <w:rFonts w:ascii="Adobe Caslon Pro" w:hAnsi="Adobe Caslon Pro"/>
          <w:sz w:val="18"/>
          <w:szCs w:val="18"/>
        </w:rPr>
        <w:tab/>
        <w:t>Acuerdo por el que se emite la guía de contenido mínimo para la elaboración del Atlas Nacional de Riesgos;</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38.</w:t>
      </w:r>
      <w:r w:rsidRPr="00BE0E69">
        <w:rPr>
          <w:rFonts w:ascii="Adobe Caslon Pro" w:hAnsi="Adobe Caslon Pro"/>
          <w:sz w:val="18"/>
          <w:szCs w:val="18"/>
        </w:rPr>
        <w:tab/>
        <w:t>Acuerdo por el que se instruye a los titulares de las Unidades Administrativas Centralizadas, Órganos Desconcentrados y Organismos Autónomos de la Secretaría de Gobernación, para recabar la Opinión y Dictamen Jurídico, así como el registro de los Instrumentos Jurídicos que se indican;</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39.</w:t>
      </w:r>
      <w:r w:rsidRPr="00BE0E69">
        <w:rPr>
          <w:rFonts w:ascii="Adobe Caslon Pro" w:hAnsi="Adobe Caslon Pro"/>
          <w:sz w:val="18"/>
          <w:szCs w:val="18"/>
        </w:rPr>
        <w:tab/>
        <w:t>Acuerdo por el que se modifican las políticas y disposiciones para la Estrategia Digital Nacional, en materia de tecnologías de la información y comunicaciones, y en la de seguridad de la información, así como el Manual Administrativo de Aplicación General en dichas materias;</w:t>
      </w:r>
    </w:p>
    <w:p w:rsidR="006D3FDD" w:rsidRPr="00BE0E69" w:rsidRDefault="006D3FDD" w:rsidP="002D2022">
      <w:pPr>
        <w:spacing w:before="120"/>
        <w:ind w:left="2124" w:hanging="708"/>
        <w:jc w:val="both"/>
        <w:rPr>
          <w:rFonts w:ascii="Adobe Caslon Pro" w:hAnsi="Adobe Caslon Pro"/>
          <w:sz w:val="18"/>
          <w:szCs w:val="18"/>
        </w:rPr>
      </w:pPr>
      <w:r w:rsidRPr="006D3FDD">
        <w:rPr>
          <w:rFonts w:ascii="Adobe Caslon Pro" w:hAnsi="Adobe Caslon Pro"/>
          <w:sz w:val="18"/>
          <w:szCs w:val="18"/>
        </w:rPr>
        <w:t>40.</w:t>
      </w:r>
      <w:r w:rsidRPr="006D3FDD">
        <w:rPr>
          <w:rFonts w:ascii="Adobe Caslon Pro" w:hAnsi="Adobe Caslon Pro"/>
          <w:sz w:val="18"/>
          <w:szCs w:val="18"/>
        </w:rPr>
        <w:tab/>
        <w:t>Acuerdo que establece los Lineamientos para la Operación del Fideicomiso</w:t>
      </w:r>
      <w:r w:rsidR="002D2022">
        <w:rPr>
          <w:rFonts w:ascii="Adobe Caslon Pro" w:hAnsi="Adobe Caslon Pro"/>
          <w:sz w:val="18"/>
          <w:szCs w:val="18"/>
        </w:rPr>
        <w:t xml:space="preserve"> </w:t>
      </w:r>
      <w:r w:rsidR="002D2022" w:rsidRPr="002D2022">
        <w:rPr>
          <w:rFonts w:ascii="Adobe Caslon Pro" w:hAnsi="Adobe Caslon Pro"/>
          <w:sz w:val="18"/>
          <w:szCs w:val="18"/>
        </w:rPr>
        <w:t xml:space="preserve">Preventivo, </w:t>
      </w:r>
      <w:r w:rsidR="002D2022">
        <w:rPr>
          <w:rFonts w:ascii="Adobe Caslon Pro" w:hAnsi="Adobe Caslon Pro"/>
          <w:sz w:val="18"/>
          <w:szCs w:val="18"/>
        </w:rPr>
        <w:t>p</w:t>
      </w:r>
      <w:r w:rsidR="002D2022" w:rsidRPr="002D2022">
        <w:rPr>
          <w:rFonts w:ascii="Adobe Caslon Pro" w:hAnsi="Adobe Caslon Pro"/>
          <w:sz w:val="18"/>
          <w:szCs w:val="18"/>
        </w:rPr>
        <w:t xml:space="preserve">revisto </w:t>
      </w:r>
      <w:r w:rsidR="002D2022">
        <w:rPr>
          <w:rFonts w:ascii="Adobe Caslon Pro" w:hAnsi="Adobe Caslon Pro"/>
          <w:sz w:val="18"/>
          <w:szCs w:val="18"/>
        </w:rPr>
        <w:t>e</w:t>
      </w:r>
      <w:r w:rsidR="002D2022" w:rsidRPr="002D2022">
        <w:rPr>
          <w:rFonts w:ascii="Adobe Caslon Pro" w:hAnsi="Adobe Caslon Pro"/>
          <w:sz w:val="18"/>
          <w:szCs w:val="18"/>
        </w:rPr>
        <w:t xml:space="preserve">n </w:t>
      </w:r>
      <w:r w:rsidR="002D2022">
        <w:rPr>
          <w:rFonts w:ascii="Adobe Caslon Pro" w:hAnsi="Adobe Caslon Pro"/>
          <w:sz w:val="18"/>
          <w:szCs w:val="18"/>
        </w:rPr>
        <w:t>e</w:t>
      </w:r>
      <w:r w:rsidR="002D2022" w:rsidRPr="002D2022">
        <w:rPr>
          <w:rFonts w:ascii="Adobe Caslon Pro" w:hAnsi="Adobe Caslon Pro"/>
          <w:sz w:val="18"/>
          <w:szCs w:val="18"/>
        </w:rPr>
        <w:t xml:space="preserve">l </w:t>
      </w:r>
      <w:r w:rsidR="002D2022">
        <w:rPr>
          <w:rFonts w:ascii="Adobe Caslon Pro" w:hAnsi="Adobe Caslon Pro"/>
          <w:sz w:val="18"/>
          <w:szCs w:val="18"/>
        </w:rPr>
        <w:t>a</w:t>
      </w:r>
      <w:r w:rsidR="002D2022" w:rsidRPr="002D2022">
        <w:rPr>
          <w:rFonts w:ascii="Adobe Caslon Pro" w:hAnsi="Adobe Caslon Pro"/>
          <w:sz w:val="18"/>
          <w:szCs w:val="18"/>
        </w:rPr>
        <w:t xml:space="preserve">rtículo 32 </w:t>
      </w:r>
      <w:r w:rsidR="002D2022">
        <w:rPr>
          <w:rFonts w:ascii="Adobe Caslon Pro" w:hAnsi="Adobe Caslon Pro"/>
          <w:sz w:val="18"/>
          <w:szCs w:val="18"/>
        </w:rPr>
        <w:t>d</w:t>
      </w:r>
      <w:r w:rsidR="002D2022" w:rsidRPr="002D2022">
        <w:rPr>
          <w:rFonts w:ascii="Adobe Caslon Pro" w:hAnsi="Adobe Caslon Pro"/>
          <w:sz w:val="18"/>
          <w:szCs w:val="18"/>
        </w:rPr>
        <w:t xml:space="preserve">e </w:t>
      </w:r>
      <w:r w:rsidR="002D2022">
        <w:rPr>
          <w:rFonts w:ascii="Adobe Caslon Pro" w:hAnsi="Adobe Caslon Pro"/>
          <w:sz w:val="18"/>
          <w:szCs w:val="18"/>
        </w:rPr>
        <w:t>l</w:t>
      </w:r>
      <w:r w:rsidR="002D2022" w:rsidRPr="002D2022">
        <w:rPr>
          <w:rFonts w:ascii="Adobe Caslon Pro" w:hAnsi="Adobe Caslon Pro"/>
          <w:sz w:val="18"/>
          <w:szCs w:val="18"/>
        </w:rPr>
        <w:t xml:space="preserve">a Ley General </w:t>
      </w:r>
      <w:r w:rsidR="002D2022">
        <w:rPr>
          <w:rFonts w:ascii="Adobe Caslon Pro" w:hAnsi="Adobe Caslon Pro"/>
          <w:sz w:val="18"/>
          <w:szCs w:val="18"/>
        </w:rPr>
        <w:t>d</w:t>
      </w:r>
      <w:r w:rsidR="002D2022" w:rsidRPr="002D2022">
        <w:rPr>
          <w:rFonts w:ascii="Adobe Caslon Pro" w:hAnsi="Adobe Caslon Pro"/>
          <w:sz w:val="18"/>
          <w:szCs w:val="18"/>
        </w:rPr>
        <w:t>e Protección Civil</w:t>
      </w:r>
      <w:r w:rsidRPr="006D3FDD">
        <w:rPr>
          <w:rFonts w:ascii="Adobe Caslon Pro" w:hAnsi="Adobe Caslon Pro"/>
          <w:sz w:val="18"/>
          <w:szCs w:val="18"/>
        </w:rPr>
        <w:t>;</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41.</w:t>
      </w:r>
      <w:r w:rsidRPr="00BE0E69">
        <w:rPr>
          <w:rFonts w:ascii="Adobe Caslon Pro" w:hAnsi="Adobe Caslon Pro"/>
          <w:sz w:val="18"/>
          <w:szCs w:val="18"/>
        </w:rPr>
        <w:tab/>
        <w:t>Acuerdo que tiene por objeto emitir las Disposiciones generales en las materias de archivos y transparencia para la Administración Pública Federal y su Anexo Único;</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42.</w:t>
      </w:r>
      <w:r w:rsidRPr="00BE0E69">
        <w:rPr>
          <w:rFonts w:ascii="Adobe Caslon Pro" w:hAnsi="Adobe Caslon Pro"/>
          <w:sz w:val="18"/>
          <w:szCs w:val="18"/>
        </w:rPr>
        <w:tab/>
        <w:t>Manual de Organización General de la Secretaría de Gobernación;</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43.</w:t>
      </w:r>
      <w:r w:rsidRPr="00BE0E69">
        <w:rPr>
          <w:rFonts w:ascii="Adobe Caslon Pro" w:hAnsi="Adobe Caslon Pro"/>
          <w:sz w:val="18"/>
          <w:szCs w:val="18"/>
        </w:rPr>
        <w:tab/>
        <w:t>Manual de Organización Específico del Centro Nacional de Prevención de Desastres;</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44.</w:t>
      </w:r>
      <w:r w:rsidRPr="00BE0E69">
        <w:rPr>
          <w:rFonts w:ascii="Adobe Caslon Pro" w:hAnsi="Adobe Caslon Pro"/>
          <w:sz w:val="18"/>
          <w:szCs w:val="18"/>
        </w:rPr>
        <w:tab/>
        <w:t>Manual Administrativo de Aplicación General en Materia de Adquisiciones, Arrendamientos y Servicios del Sector Público;</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45.</w:t>
      </w:r>
      <w:r w:rsidRPr="00BE0E69">
        <w:rPr>
          <w:rFonts w:ascii="Adobe Caslon Pro" w:hAnsi="Adobe Caslon Pro"/>
          <w:sz w:val="18"/>
          <w:szCs w:val="18"/>
        </w:rPr>
        <w:tab/>
        <w:t>Manual Administrativo de Aplicación General en Materia de Control Interno;</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46.</w:t>
      </w:r>
      <w:r w:rsidRPr="00BE0E69">
        <w:rPr>
          <w:rFonts w:ascii="Adobe Caslon Pro" w:hAnsi="Adobe Caslon Pro"/>
          <w:sz w:val="18"/>
          <w:szCs w:val="18"/>
        </w:rPr>
        <w:tab/>
        <w:t>Manual Administrativo de Aplicación General en Materia de Obras Públicas y Servicios Relacionados con las Mismas;</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47.</w:t>
      </w:r>
      <w:r w:rsidRPr="00BE0E69">
        <w:rPr>
          <w:rFonts w:ascii="Adobe Caslon Pro" w:hAnsi="Adobe Caslon Pro"/>
          <w:sz w:val="18"/>
          <w:szCs w:val="18"/>
        </w:rPr>
        <w:tab/>
        <w:t>Manual Administrativo de Aplicación General en Materia de Recursos Financieros;</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48.</w:t>
      </w:r>
      <w:r w:rsidRPr="00BE0E69">
        <w:rPr>
          <w:rFonts w:ascii="Adobe Caslon Pro" w:hAnsi="Adobe Caslon Pro"/>
          <w:sz w:val="18"/>
          <w:szCs w:val="18"/>
        </w:rPr>
        <w:tab/>
        <w:t>Manual Administrativo de Aplicación General en materia de Recursos Humanos y Organización y el Manual del Servicio Profesional de Carrera;</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49.</w:t>
      </w:r>
      <w:r w:rsidRPr="00BE0E69">
        <w:rPr>
          <w:rFonts w:ascii="Adobe Caslon Pro" w:hAnsi="Adobe Caslon Pro"/>
          <w:sz w:val="18"/>
          <w:szCs w:val="18"/>
        </w:rPr>
        <w:tab/>
        <w:t>Manual de Contabilidad Gubernamental;</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50.</w:t>
      </w:r>
      <w:r w:rsidRPr="00BE0E69">
        <w:rPr>
          <w:rFonts w:ascii="Adobe Caslon Pro" w:hAnsi="Adobe Caslon Pro"/>
          <w:sz w:val="18"/>
          <w:szCs w:val="18"/>
        </w:rPr>
        <w:tab/>
        <w:t>Manual de Percepciones de los Servidores Públicos de las Dependencias y Entidades de la Administración Pública Federal;</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51.</w:t>
      </w:r>
      <w:r w:rsidRPr="00BE0E69">
        <w:rPr>
          <w:rFonts w:ascii="Adobe Caslon Pro" w:hAnsi="Adobe Caslon Pro"/>
          <w:sz w:val="18"/>
          <w:szCs w:val="18"/>
        </w:rPr>
        <w:tab/>
        <w:t>Manual de Seguridad en el Laboratorio de Muestras Ambientales del Centro Nacional de Prevención de Desastres;</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52.</w:t>
      </w:r>
      <w:r w:rsidRPr="00BE0E69">
        <w:rPr>
          <w:rFonts w:ascii="Adobe Caslon Pro" w:hAnsi="Adobe Caslon Pro"/>
          <w:sz w:val="18"/>
          <w:szCs w:val="18"/>
        </w:rPr>
        <w:tab/>
        <w:t>Disposiciones Generales para la Realización de Auditorías, Revisiones y Visitas de Inspección;</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53.</w:t>
      </w:r>
      <w:r w:rsidRPr="00BE0E69">
        <w:rPr>
          <w:rFonts w:ascii="Adobe Caslon Pro" w:hAnsi="Adobe Caslon Pro"/>
          <w:sz w:val="18"/>
          <w:szCs w:val="18"/>
        </w:rPr>
        <w:tab/>
        <w:t>Lineamientos de los Servicios de la Biblioteca del Centro Nacional de Prevención de Desastres;</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lastRenderedPageBreak/>
        <w:t>54.</w:t>
      </w:r>
      <w:r w:rsidRPr="00BE0E69">
        <w:rPr>
          <w:rFonts w:ascii="Adobe Caslon Pro" w:hAnsi="Adobe Caslon Pro"/>
          <w:sz w:val="18"/>
          <w:szCs w:val="18"/>
        </w:rPr>
        <w:tab/>
        <w:t>Lineamientos Generales en materia de Clasificación y Desclasificación de la Información, así como para la elaboración de Versiones Públicas;</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55.</w:t>
      </w:r>
      <w:r w:rsidRPr="00BE0E69">
        <w:rPr>
          <w:rFonts w:ascii="Adobe Caslon Pro" w:hAnsi="Adobe Caslon Pro"/>
          <w:sz w:val="18"/>
          <w:szCs w:val="18"/>
        </w:rPr>
        <w:tab/>
        <w:t>Lineamientos para analizar, valorar y decidir el destino final de la documentación de las dependencias y entidades del Poder Ejecutivo Federal;</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56.</w:t>
      </w:r>
      <w:r w:rsidRPr="00BE0E69">
        <w:rPr>
          <w:rFonts w:ascii="Adobe Caslon Pro" w:hAnsi="Adobe Caslon Pro"/>
          <w:sz w:val="18"/>
          <w:szCs w:val="18"/>
        </w:rPr>
        <w:tab/>
        <w:t>Lineamientos para la atención, investigación y conclusión de quejas y denuncias;</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57.</w:t>
      </w:r>
      <w:r w:rsidRPr="00BE0E69">
        <w:rPr>
          <w:rFonts w:ascii="Adobe Caslon Pro" w:hAnsi="Adobe Caslon Pro"/>
          <w:sz w:val="18"/>
          <w:szCs w:val="18"/>
        </w:rPr>
        <w:tab/>
        <w:t>Lineamientos para la emisión de criterios de interpretación del Instituto Nacional de Transparencia, Acceso a la Información y Protección de Datos Personales;</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58.</w:t>
      </w:r>
      <w:r w:rsidRPr="00BE0E69">
        <w:rPr>
          <w:rFonts w:ascii="Adobe Caslon Pro" w:hAnsi="Adobe Caslon Pro"/>
          <w:sz w:val="18"/>
          <w:szCs w:val="18"/>
        </w:rPr>
        <w:tab/>
        <w:t>Lineamientos para la Operación del Comité Interno de la Subcuenta de Investigación en el Marco del Acuerdo por el que se establecen las Reglas de Operación del Fondo para la Prevención de Desastres Naturales;</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59.</w:t>
      </w:r>
      <w:r w:rsidRPr="00BE0E69">
        <w:rPr>
          <w:rFonts w:ascii="Adobe Caslon Pro" w:hAnsi="Adobe Caslon Pro"/>
          <w:sz w:val="18"/>
          <w:szCs w:val="18"/>
        </w:rPr>
        <w:tab/>
        <w:t xml:space="preserve">Lineamientos que deberán Observar los Entes Públicos para registrar en </w:t>
      </w:r>
      <w:r>
        <w:rPr>
          <w:rFonts w:ascii="Adobe Caslon Pro" w:hAnsi="Adobe Caslon Pro"/>
          <w:sz w:val="18"/>
          <w:szCs w:val="18"/>
        </w:rPr>
        <w:t>l</w:t>
      </w:r>
      <w:r w:rsidRPr="00BE0E69">
        <w:rPr>
          <w:rFonts w:ascii="Adobe Caslon Pro" w:hAnsi="Adobe Caslon Pro"/>
          <w:sz w:val="18"/>
          <w:szCs w:val="18"/>
        </w:rPr>
        <w:t>as cuentas de Activo los Fideicomisos sin estructura Orgánica y Contratos Análogos, incluyendo mandatos;</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60.</w:t>
      </w:r>
      <w:r w:rsidRPr="00BE0E69">
        <w:rPr>
          <w:rFonts w:ascii="Adobe Caslon Pro" w:hAnsi="Adobe Caslon Pro"/>
          <w:sz w:val="18"/>
          <w:szCs w:val="18"/>
        </w:rPr>
        <w:tab/>
        <w:t>Lineamientos que habrán de observar las dependencias y entidades de la Administración Pública Federal para la publicación de las obligaciones de transparencia señaladas en el artículo 7 de la Ley Federal de Transparencia y Acceso a la Información Pública;</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61.</w:t>
      </w:r>
      <w:r w:rsidRPr="00BE0E69">
        <w:rPr>
          <w:rFonts w:ascii="Adobe Caslon Pro" w:hAnsi="Adobe Caslon Pro"/>
          <w:sz w:val="18"/>
          <w:szCs w:val="18"/>
        </w:rPr>
        <w:tab/>
        <w:t>Lineamientos que los sujetos obligados deben seguir al momento de generar información, en un lenguaje sencillo, con accesibilidad y traducción a lenguas indígenas;</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62.</w:t>
      </w:r>
      <w:r w:rsidRPr="00BE0E69">
        <w:rPr>
          <w:rFonts w:ascii="Adobe Caslon Pro" w:hAnsi="Adobe Caslon Pro"/>
          <w:sz w:val="18"/>
          <w:szCs w:val="18"/>
        </w:rPr>
        <w:tab/>
        <w:t>Lista de valores mínimos para desechos de bienes muebles que generen las dependencias y entidades de la Administración Pública Federal;</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63.</w:t>
      </w:r>
      <w:r w:rsidRPr="00BE0E69">
        <w:rPr>
          <w:rFonts w:ascii="Adobe Caslon Pro" w:hAnsi="Adobe Caslon Pro"/>
          <w:sz w:val="18"/>
          <w:szCs w:val="18"/>
        </w:rPr>
        <w:tab/>
        <w:t>Plan Nacional de Desarrollo 2013-2018;</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64.</w:t>
      </w:r>
      <w:r w:rsidRPr="00BE0E69">
        <w:rPr>
          <w:rFonts w:ascii="Adobe Caslon Pro" w:hAnsi="Adobe Caslon Pro"/>
          <w:sz w:val="18"/>
          <w:szCs w:val="18"/>
        </w:rPr>
        <w:tab/>
        <w:t>Programa Nacional de Protección Civil 2014-2018;</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65.</w:t>
      </w:r>
      <w:r w:rsidRPr="00BE0E69">
        <w:rPr>
          <w:rFonts w:ascii="Adobe Caslon Pro" w:hAnsi="Adobe Caslon Pro"/>
          <w:sz w:val="18"/>
          <w:szCs w:val="18"/>
        </w:rPr>
        <w:tab/>
        <w:t>Programa Nacional para la Igualdad de Oportunidades y No Discriminación contra las Mujeres 2013-2018;</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66.</w:t>
      </w:r>
      <w:r w:rsidRPr="00BE0E69">
        <w:rPr>
          <w:rFonts w:ascii="Adobe Caslon Pro" w:hAnsi="Adobe Caslon Pro"/>
          <w:sz w:val="18"/>
          <w:szCs w:val="18"/>
        </w:rPr>
        <w:tab/>
        <w:t>Programa Nacional para la Igualdad y No Discriminación;</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67.</w:t>
      </w:r>
      <w:r w:rsidRPr="00BE0E69">
        <w:rPr>
          <w:rFonts w:ascii="Adobe Caslon Pro" w:hAnsi="Adobe Caslon Pro"/>
          <w:sz w:val="18"/>
          <w:szCs w:val="18"/>
        </w:rPr>
        <w:tab/>
        <w:t>Programa para un Gobierno Cercano y Moderno 2013-2018;</w:t>
      </w:r>
    </w:p>
    <w:p w:rsidR="006D3FDD" w:rsidRPr="00AB684C"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68.</w:t>
      </w:r>
      <w:r w:rsidRPr="00BE0E69">
        <w:rPr>
          <w:rFonts w:ascii="Adobe Caslon Pro" w:hAnsi="Adobe Caslon Pro"/>
          <w:sz w:val="18"/>
          <w:szCs w:val="18"/>
        </w:rPr>
        <w:tab/>
      </w:r>
      <w:r w:rsidRPr="00AB684C">
        <w:rPr>
          <w:rFonts w:ascii="Adobe Caslon Pro" w:hAnsi="Adobe Caslon Pro"/>
          <w:sz w:val="18"/>
          <w:szCs w:val="18"/>
        </w:rPr>
        <w:t>Procedimiento Apoyo al SINAPROC;</w:t>
      </w:r>
    </w:p>
    <w:p w:rsidR="006D3FDD" w:rsidRPr="00AB684C" w:rsidRDefault="006D3FDD" w:rsidP="006D3FDD">
      <w:pPr>
        <w:spacing w:before="120"/>
        <w:ind w:left="1416"/>
        <w:jc w:val="both"/>
        <w:rPr>
          <w:rFonts w:ascii="Adobe Caslon Pro" w:hAnsi="Adobe Caslon Pro"/>
          <w:sz w:val="18"/>
          <w:szCs w:val="18"/>
        </w:rPr>
      </w:pPr>
      <w:r w:rsidRPr="00AB684C">
        <w:rPr>
          <w:rFonts w:ascii="Adobe Caslon Pro" w:hAnsi="Adobe Caslon Pro"/>
          <w:sz w:val="18"/>
          <w:szCs w:val="18"/>
        </w:rPr>
        <w:t>69.</w:t>
      </w:r>
      <w:r w:rsidRPr="00AB684C">
        <w:rPr>
          <w:rFonts w:ascii="Adobe Caslon Pro" w:hAnsi="Adobe Caslon Pro"/>
          <w:sz w:val="18"/>
          <w:szCs w:val="18"/>
        </w:rPr>
        <w:tab/>
        <w:t>Procedimiento Atlas Nacional de Riesgos;</w:t>
      </w:r>
    </w:p>
    <w:p w:rsidR="006D3FDD" w:rsidRPr="00BE0E69" w:rsidRDefault="006D3FDD" w:rsidP="006D3FDD">
      <w:pPr>
        <w:spacing w:before="120"/>
        <w:ind w:left="1416"/>
        <w:jc w:val="both"/>
        <w:rPr>
          <w:rFonts w:ascii="Adobe Caslon Pro" w:hAnsi="Adobe Caslon Pro"/>
          <w:sz w:val="18"/>
          <w:szCs w:val="18"/>
        </w:rPr>
      </w:pPr>
      <w:r w:rsidRPr="00AB684C">
        <w:rPr>
          <w:rFonts w:ascii="Adobe Caslon Pro" w:hAnsi="Adobe Caslon Pro"/>
          <w:sz w:val="18"/>
          <w:szCs w:val="18"/>
        </w:rPr>
        <w:t>70.</w:t>
      </w:r>
      <w:r w:rsidRPr="00AB684C">
        <w:rPr>
          <w:rFonts w:ascii="Adobe Caslon Pro" w:hAnsi="Adobe Caslon Pro"/>
          <w:sz w:val="18"/>
          <w:szCs w:val="18"/>
        </w:rPr>
        <w:tab/>
        <w:t>Procedimiento de Desarrollo de Proyectos de Investigación Experimental en el Laboratorio de Dinámica de Suelos con Instituciones Externas;</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71.</w:t>
      </w:r>
      <w:r w:rsidRPr="00BE0E69">
        <w:rPr>
          <w:rFonts w:ascii="Adobe Caslon Pro" w:hAnsi="Adobe Caslon Pro"/>
          <w:sz w:val="18"/>
          <w:szCs w:val="18"/>
        </w:rPr>
        <w:tab/>
        <w:t>Procedimiento de Desarrollo de Proyectos de Investigación Experimental en el Laboratorio de Estructuras Grandes;</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72.</w:t>
      </w:r>
      <w:r w:rsidRPr="00BE0E69">
        <w:rPr>
          <w:rFonts w:ascii="Adobe Caslon Pro" w:hAnsi="Adobe Caslon Pro"/>
          <w:sz w:val="18"/>
          <w:szCs w:val="18"/>
        </w:rPr>
        <w:tab/>
        <w:t>Procedimiento en caso de Ciclones Tropicales;</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73.</w:t>
      </w:r>
      <w:r w:rsidRPr="00BE0E69">
        <w:rPr>
          <w:rFonts w:ascii="Adobe Caslon Pro" w:hAnsi="Adobe Caslon Pro"/>
          <w:sz w:val="18"/>
          <w:szCs w:val="18"/>
        </w:rPr>
        <w:tab/>
        <w:t>Procedimiento Erupción Volcánica;</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74.</w:t>
      </w:r>
      <w:r w:rsidRPr="00BE0E69">
        <w:rPr>
          <w:rFonts w:ascii="Adobe Caslon Pro" w:hAnsi="Adobe Caslon Pro"/>
          <w:sz w:val="18"/>
          <w:szCs w:val="18"/>
        </w:rPr>
        <w:tab/>
        <w:t xml:space="preserve">Procedimiento para la Elaboración de Reportes </w:t>
      </w:r>
      <w:proofErr w:type="spellStart"/>
      <w:r w:rsidRPr="00BE0E69">
        <w:rPr>
          <w:rFonts w:ascii="Adobe Caslon Pro" w:hAnsi="Adobe Caslon Pro"/>
          <w:sz w:val="18"/>
          <w:szCs w:val="18"/>
        </w:rPr>
        <w:t>Hidrometeorológicos</w:t>
      </w:r>
      <w:proofErr w:type="spellEnd"/>
      <w:r w:rsidRPr="00BE0E69">
        <w:rPr>
          <w:rFonts w:ascii="Adobe Caslon Pro" w:hAnsi="Adobe Caslon Pro"/>
          <w:sz w:val="18"/>
          <w:szCs w:val="18"/>
        </w:rPr>
        <w:t>;</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lastRenderedPageBreak/>
        <w:t>75.</w:t>
      </w:r>
      <w:r w:rsidRPr="00BE0E69">
        <w:rPr>
          <w:rFonts w:ascii="Adobe Caslon Pro" w:hAnsi="Adobe Caslon Pro"/>
          <w:sz w:val="18"/>
          <w:szCs w:val="18"/>
        </w:rPr>
        <w:tab/>
        <w:t>Procedimiento para la solicitud de Información Referente al Impacto Socioeconómico de los Desastres;</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76.</w:t>
      </w:r>
      <w:r w:rsidRPr="00BE0E69">
        <w:rPr>
          <w:rFonts w:ascii="Adobe Caslon Pro" w:hAnsi="Adobe Caslon Pro"/>
          <w:sz w:val="18"/>
          <w:szCs w:val="18"/>
        </w:rPr>
        <w:tab/>
        <w:t>Procedimiento para las Acciones ante la Ocurrencia de Sismo;</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77.</w:t>
      </w:r>
      <w:r w:rsidRPr="00BE0E69">
        <w:rPr>
          <w:rFonts w:ascii="Adobe Caslon Pro" w:hAnsi="Adobe Caslon Pro"/>
          <w:sz w:val="18"/>
          <w:szCs w:val="18"/>
        </w:rPr>
        <w:tab/>
        <w:t>Procedimiento para Proyectos de Investigación en el Laboratorio de Muestras Ambientales;</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78.</w:t>
      </w:r>
      <w:r w:rsidRPr="00BE0E69">
        <w:rPr>
          <w:rFonts w:ascii="Adobe Caslon Pro" w:hAnsi="Adobe Caslon Pro"/>
          <w:sz w:val="18"/>
          <w:szCs w:val="18"/>
        </w:rPr>
        <w:tab/>
        <w:t>Procedimiento respuesta POST- SISMO;</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79.</w:t>
      </w:r>
      <w:r w:rsidRPr="00BE0E69">
        <w:rPr>
          <w:rFonts w:ascii="Adobe Caslon Pro" w:hAnsi="Adobe Caslon Pro"/>
          <w:sz w:val="18"/>
          <w:szCs w:val="18"/>
        </w:rPr>
        <w:tab/>
        <w:t>Procedimiento Respuesta POST-VIENTOS FUERTES;</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80.</w:t>
      </w:r>
      <w:r w:rsidRPr="00BE0E69">
        <w:rPr>
          <w:rFonts w:ascii="Adobe Caslon Pro" w:hAnsi="Adobe Caslon Pro"/>
          <w:sz w:val="18"/>
          <w:szCs w:val="18"/>
        </w:rPr>
        <w:tab/>
        <w:t>Protocolo para la prevención atención y sanción del hostigamiento sexual y acoso sexual;</w:t>
      </w:r>
    </w:p>
    <w:p w:rsidR="006D3FDD" w:rsidRPr="00BE0E69"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81.</w:t>
      </w:r>
      <w:r w:rsidRPr="00BE0E69">
        <w:rPr>
          <w:rFonts w:ascii="Adobe Caslon Pro" w:hAnsi="Adobe Caslon Pro"/>
          <w:sz w:val="18"/>
          <w:szCs w:val="18"/>
        </w:rPr>
        <w:tab/>
        <w:t>Criterios Generales para Elaborar el Programa Editorial Anual y de Distribución de Publicaciones del Centro Nacional de Prevención de Desastres</w:t>
      </w:r>
      <w:r>
        <w:rPr>
          <w:rFonts w:ascii="Adobe Caslon Pro" w:hAnsi="Adobe Caslon Pro"/>
          <w:sz w:val="18"/>
          <w:szCs w:val="18"/>
        </w:rPr>
        <w:t>;</w:t>
      </w:r>
    </w:p>
    <w:p w:rsidR="006D3FDD" w:rsidRDefault="006D3FDD" w:rsidP="006D3FDD">
      <w:pPr>
        <w:spacing w:before="120"/>
        <w:ind w:left="1416"/>
        <w:jc w:val="both"/>
        <w:rPr>
          <w:rFonts w:ascii="Adobe Caslon Pro" w:hAnsi="Adobe Caslon Pro"/>
          <w:sz w:val="18"/>
          <w:szCs w:val="18"/>
        </w:rPr>
      </w:pPr>
      <w:r w:rsidRPr="00BE0E69">
        <w:rPr>
          <w:rFonts w:ascii="Adobe Caslon Pro" w:hAnsi="Adobe Caslon Pro"/>
          <w:sz w:val="18"/>
          <w:szCs w:val="18"/>
        </w:rPr>
        <w:t>82.</w:t>
      </w:r>
      <w:r w:rsidRPr="00BE0E69">
        <w:rPr>
          <w:rFonts w:ascii="Adobe Caslon Pro" w:hAnsi="Adobe Caslon Pro"/>
          <w:sz w:val="18"/>
          <w:szCs w:val="18"/>
        </w:rPr>
        <w:tab/>
        <w:t>Recomendaciones para la organización y conservación de correos electrónicos institucionales de las dependencias y entidades de la</w:t>
      </w:r>
      <w:r>
        <w:rPr>
          <w:rFonts w:ascii="Adobe Caslon Pro" w:hAnsi="Adobe Caslon Pro"/>
          <w:sz w:val="18"/>
          <w:szCs w:val="18"/>
        </w:rPr>
        <w:t xml:space="preserve"> Administración Pública Federal;</w:t>
      </w:r>
    </w:p>
    <w:p w:rsidR="006D3FDD" w:rsidRDefault="006D3FDD" w:rsidP="006D3FDD">
      <w:pPr>
        <w:spacing w:before="120"/>
        <w:ind w:left="1416"/>
        <w:jc w:val="both"/>
        <w:rPr>
          <w:rFonts w:ascii="Adobe Caslon Pro" w:hAnsi="Adobe Caslon Pro"/>
          <w:sz w:val="18"/>
          <w:szCs w:val="18"/>
        </w:rPr>
      </w:pPr>
      <w:r>
        <w:rPr>
          <w:rFonts w:ascii="Adobe Caslon Pro" w:hAnsi="Adobe Caslon Pro"/>
          <w:sz w:val="18"/>
          <w:szCs w:val="18"/>
        </w:rPr>
        <w:t>83.</w:t>
      </w:r>
      <w:r w:rsidRPr="00BE0E69">
        <w:rPr>
          <w:rFonts w:ascii="Adobe Caslon Pro" w:hAnsi="Adobe Caslon Pro"/>
          <w:sz w:val="18"/>
          <w:szCs w:val="18"/>
        </w:rPr>
        <w:tab/>
      </w:r>
      <w:r w:rsidRPr="00EE78DE">
        <w:rPr>
          <w:rFonts w:ascii="Adobe Caslon Pro" w:hAnsi="Adobe Caslon Pro"/>
          <w:sz w:val="18"/>
          <w:szCs w:val="18"/>
          <w:lang w:val="es-MX"/>
        </w:rPr>
        <w:t>Decreto que establece las medidas para el uso eficiente, transparente y eficaz de los recursos públicos, y las acciones de disciplina presupuestaria en el ejercicio del gasto público, así como para la modernización de la</w:t>
      </w:r>
      <w:r>
        <w:rPr>
          <w:rFonts w:ascii="Adobe Caslon Pro" w:hAnsi="Adobe Caslon Pro"/>
          <w:sz w:val="18"/>
          <w:szCs w:val="18"/>
          <w:lang w:val="es-MX"/>
        </w:rPr>
        <w:t xml:space="preserve"> Administración Pública Federal</w:t>
      </w:r>
      <w:r w:rsidRPr="00BE0E69">
        <w:rPr>
          <w:rFonts w:ascii="Adobe Caslon Pro" w:hAnsi="Adobe Caslon Pro"/>
          <w:sz w:val="18"/>
          <w:szCs w:val="18"/>
        </w:rPr>
        <w:t>;</w:t>
      </w:r>
    </w:p>
    <w:p w:rsidR="006D3FDD" w:rsidRDefault="006D3FDD" w:rsidP="006D3FDD">
      <w:pPr>
        <w:spacing w:before="120"/>
        <w:ind w:left="1416"/>
        <w:jc w:val="both"/>
        <w:rPr>
          <w:rFonts w:ascii="Adobe Caslon Pro" w:hAnsi="Adobe Caslon Pro"/>
          <w:sz w:val="18"/>
          <w:szCs w:val="18"/>
        </w:rPr>
      </w:pPr>
      <w:r>
        <w:rPr>
          <w:rFonts w:ascii="Adobe Caslon Pro" w:hAnsi="Adobe Caslon Pro"/>
          <w:sz w:val="18"/>
          <w:szCs w:val="18"/>
        </w:rPr>
        <w:t xml:space="preserve">84. </w:t>
      </w:r>
      <w:r>
        <w:rPr>
          <w:rFonts w:ascii="Adobe Caslon Pro" w:hAnsi="Adobe Caslon Pro"/>
          <w:sz w:val="18"/>
          <w:szCs w:val="18"/>
        </w:rPr>
        <w:tab/>
      </w:r>
      <w:r w:rsidRPr="00EE78DE">
        <w:rPr>
          <w:rFonts w:ascii="Adobe Caslon Pro" w:hAnsi="Adobe Caslon Pro"/>
          <w:sz w:val="18"/>
          <w:szCs w:val="18"/>
          <w:lang w:val="es-MX"/>
        </w:rPr>
        <w:t>Lineamientos para la aplicación y seguimiento de las medidas para el uso eficiente, transparente y eficaz de los recursos públicos, y las acciones de disciplina presupuestaria en el ejercicio del gasto público, así como para la modernización de la Administración Pública Federal.</w:t>
      </w:r>
      <w:r w:rsidRPr="00BE0E69">
        <w:rPr>
          <w:rFonts w:ascii="Adobe Caslon Pro" w:hAnsi="Adobe Caslon Pro"/>
          <w:sz w:val="18"/>
          <w:szCs w:val="18"/>
        </w:rPr>
        <w:t>;</w:t>
      </w:r>
    </w:p>
    <w:p w:rsidR="006D3FDD" w:rsidRPr="00BE0E69" w:rsidRDefault="006D3FDD" w:rsidP="006D3FDD">
      <w:pPr>
        <w:spacing w:before="120"/>
        <w:ind w:left="1416"/>
        <w:jc w:val="both"/>
        <w:rPr>
          <w:rFonts w:ascii="Adobe Caslon Pro" w:hAnsi="Adobe Caslon Pro"/>
          <w:sz w:val="18"/>
          <w:szCs w:val="18"/>
        </w:rPr>
      </w:pPr>
      <w:r>
        <w:rPr>
          <w:rFonts w:ascii="Adobe Caslon Pro" w:hAnsi="Adobe Caslon Pro"/>
          <w:sz w:val="18"/>
          <w:szCs w:val="18"/>
          <w:lang w:val="es-MX"/>
        </w:rPr>
        <w:t xml:space="preserve">85. </w:t>
      </w:r>
      <w:r>
        <w:rPr>
          <w:rFonts w:ascii="Adobe Caslon Pro" w:hAnsi="Adobe Caslon Pro"/>
          <w:sz w:val="18"/>
          <w:szCs w:val="18"/>
          <w:lang w:val="es-MX"/>
        </w:rPr>
        <w:tab/>
      </w:r>
      <w:r w:rsidRPr="00EE78DE">
        <w:rPr>
          <w:rFonts w:ascii="Adobe Caslon Pro" w:hAnsi="Adobe Caslon Pro"/>
          <w:sz w:val="18"/>
          <w:szCs w:val="18"/>
          <w:lang w:val="es-MX"/>
        </w:rPr>
        <w:t>Lineamientos por los que se establecen medidas de austeridad en el gasto de operación en las dependencias y entidades de la Administración Pública Federal</w:t>
      </w:r>
      <w:r w:rsidRPr="00BE0E69">
        <w:rPr>
          <w:rFonts w:ascii="Adobe Caslon Pro" w:hAnsi="Adobe Caslon Pro"/>
          <w:sz w:val="18"/>
          <w:szCs w:val="18"/>
        </w:rPr>
        <w:t>;</w:t>
      </w:r>
    </w:p>
    <w:p w:rsidR="006D3FDD" w:rsidRPr="00BE0E69" w:rsidRDefault="006D3FDD" w:rsidP="006D3FDD">
      <w:pPr>
        <w:spacing w:before="120"/>
        <w:ind w:left="1416"/>
        <w:jc w:val="both"/>
        <w:rPr>
          <w:rFonts w:ascii="Adobe Caslon Pro" w:hAnsi="Adobe Caslon Pro"/>
          <w:sz w:val="18"/>
          <w:szCs w:val="18"/>
        </w:rPr>
      </w:pPr>
      <w:r>
        <w:rPr>
          <w:rFonts w:ascii="Adobe Caslon Pro" w:hAnsi="Adobe Caslon Pro"/>
          <w:sz w:val="18"/>
          <w:szCs w:val="18"/>
          <w:lang w:val="es-MX"/>
        </w:rPr>
        <w:t>86.</w:t>
      </w:r>
      <w:r>
        <w:rPr>
          <w:rFonts w:ascii="Adobe Caslon Pro" w:hAnsi="Adobe Caslon Pro"/>
          <w:sz w:val="18"/>
          <w:szCs w:val="18"/>
          <w:lang w:val="es-MX"/>
        </w:rPr>
        <w:tab/>
      </w:r>
      <w:r w:rsidRPr="00EE78DE">
        <w:rPr>
          <w:rFonts w:ascii="Adobe Caslon Pro" w:hAnsi="Adobe Caslon Pro"/>
          <w:sz w:val="18"/>
          <w:szCs w:val="18"/>
          <w:lang w:val="es-MX"/>
        </w:rPr>
        <w:t>Clasificador por Objeto del Gasto</w:t>
      </w:r>
      <w:r w:rsidRPr="00BE0E69">
        <w:rPr>
          <w:rFonts w:ascii="Adobe Caslon Pro" w:hAnsi="Adobe Caslon Pro"/>
          <w:sz w:val="18"/>
          <w:szCs w:val="18"/>
        </w:rPr>
        <w:t>;</w:t>
      </w:r>
    </w:p>
    <w:p w:rsidR="006D3FDD" w:rsidRPr="00BE0E69" w:rsidRDefault="006D3FDD" w:rsidP="006D3FDD">
      <w:pPr>
        <w:spacing w:before="120"/>
        <w:ind w:left="1418" w:hanging="2"/>
        <w:jc w:val="both"/>
        <w:rPr>
          <w:rFonts w:ascii="Adobe Caslon Pro" w:hAnsi="Adobe Caslon Pro"/>
          <w:sz w:val="18"/>
          <w:szCs w:val="18"/>
        </w:rPr>
      </w:pPr>
      <w:r>
        <w:rPr>
          <w:rFonts w:ascii="Adobe Caslon Pro" w:hAnsi="Adobe Caslon Pro"/>
          <w:sz w:val="18"/>
          <w:szCs w:val="18"/>
          <w:lang w:val="es-MX"/>
        </w:rPr>
        <w:t>87.</w:t>
      </w:r>
      <w:r>
        <w:rPr>
          <w:rFonts w:ascii="Adobe Caslon Pro" w:hAnsi="Adobe Caslon Pro"/>
          <w:sz w:val="18"/>
          <w:szCs w:val="18"/>
          <w:lang w:val="es-MX"/>
        </w:rPr>
        <w:tab/>
      </w:r>
      <w:r w:rsidRPr="00EE78DE">
        <w:rPr>
          <w:rFonts w:ascii="Adobe Caslon Pro" w:hAnsi="Adobe Caslon Pro"/>
          <w:sz w:val="18"/>
          <w:szCs w:val="18"/>
          <w:lang w:val="es-MX"/>
        </w:rPr>
        <w:t>Acuerdo por el que se expide el Manual Administrativo de Aplicación General en Materia de Recursos Financieros</w:t>
      </w:r>
      <w:r>
        <w:rPr>
          <w:rFonts w:ascii="Adobe Caslon Pro" w:hAnsi="Adobe Caslon Pro"/>
          <w:sz w:val="18"/>
          <w:szCs w:val="18"/>
          <w:lang w:val="es-MX"/>
        </w:rPr>
        <w:t>, y</w:t>
      </w:r>
    </w:p>
    <w:p w:rsidR="006D3FDD" w:rsidRPr="00BE0E69" w:rsidRDefault="006D3FDD" w:rsidP="006D3FDD">
      <w:pPr>
        <w:spacing w:before="120"/>
        <w:ind w:left="1418" w:hanging="2"/>
        <w:jc w:val="both"/>
        <w:rPr>
          <w:rFonts w:ascii="Adobe Caslon Pro" w:hAnsi="Adobe Caslon Pro"/>
          <w:sz w:val="18"/>
          <w:szCs w:val="18"/>
        </w:rPr>
      </w:pPr>
      <w:r>
        <w:rPr>
          <w:rFonts w:ascii="Adobe Caslon Pro" w:hAnsi="Adobe Caslon Pro"/>
          <w:sz w:val="18"/>
          <w:szCs w:val="18"/>
          <w:lang w:val="es-MX"/>
        </w:rPr>
        <w:t>88.</w:t>
      </w:r>
      <w:r>
        <w:rPr>
          <w:rFonts w:ascii="Adobe Caslon Pro" w:hAnsi="Adobe Caslon Pro"/>
          <w:sz w:val="18"/>
          <w:szCs w:val="18"/>
          <w:lang w:val="es-MX"/>
        </w:rPr>
        <w:tab/>
      </w:r>
      <w:r w:rsidRPr="00EE78DE">
        <w:rPr>
          <w:rFonts w:ascii="Adobe Caslon Pro" w:hAnsi="Adobe Caslon Pro"/>
          <w:sz w:val="18"/>
          <w:szCs w:val="18"/>
          <w:lang w:val="es-MX"/>
        </w:rPr>
        <w:t>Acuerdo mediante el cual se modifica el diverso por el que se expide el Manual Administrativo de Aplicación General en Materia de Recursos Financieros</w:t>
      </w:r>
      <w:r>
        <w:rPr>
          <w:rFonts w:ascii="Adobe Caslon Pro" w:hAnsi="Adobe Caslon Pro"/>
          <w:sz w:val="18"/>
          <w:szCs w:val="18"/>
        </w:rPr>
        <w:t>.</w:t>
      </w:r>
    </w:p>
    <w:p w:rsidR="006D3FDD" w:rsidRPr="00C57B0C" w:rsidRDefault="006D3FDD" w:rsidP="006D3FDD">
      <w:pPr>
        <w:spacing w:before="120"/>
        <w:ind w:left="360"/>
        <w:jc w:val="both"/>
        <w:rPr>
          <w:rFonts w:ascii="Adobe Caslon Pro" w:hAnsi="Adobe Caslon Pro"/>
          <w:sz w:val="18"/>
          <w:szCs w:val="18"/>
        </w:rPr>
      </w:pPr>
    </w:p>
    <w:p w:rsidR="00B6119C" w:rsidRPr="00C57B0C" w:rsidRDefault="00B6119C" w:rsidP="006D3FDD">
      <w:pPr>
        <w:spacing w:before="120"/>
        <w:ind w:left="360"/>
        <w:jc w:val="both"/>
        <w:rPr>
          <w:rFonts w:ascii="Adobe Caslon Pro" w:hAnsi="Adobe Caslon Pro"/>
          <w:sz w:val="18"/>
          <w:szCs w:val="18"/>
        </w:rPr>
      </w:pPr>
    </w:p>
    <w:sectPr w:rsidR="00B6119C" w:rsidRPr="00C57B0C" w:rsidSect="00980251">
      <w:headerReference w:type="default" r:id="rId9"/>
      <w:pgSz w:w="12240" w:h="15840" w:code="1"/>
      <w:pgMar w:top="1701" w:right="1134" w:bottom="1701" w:left="1134" w:header="57"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38D6" w:rsidRDefault="007538D6" w:rsidP="00A8105E">
      <w:r>
        <w:separator/>
      </w:r>
    </w:p>
  </w:endnote>
  <w:endnote w:type="continuationSeparator" w:id="0">
    <w:p w:rsidR="007538D6" w:rsidRDefault="007538D6" w:rsidP="00A81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dobe Caslon Pro">
    <w:panose1 w:val="0205050205050A020403"/>
    <w:charset w:val="00"/>
    <w:family w:val="roman"/>
    <w:notTrueType/>
    <w:pitch w:val="variable"/>
    <w:sig w:usb0="00000007" w:usb1="00000001" w:usb2="00000000" w:usb3="00000000" w:csb0="00000093"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Normal">
    <w:panose1 w:val="00000000000000000000"/>
    <w:charset w:val="00"/>
    <w:family w:val="auto"/>
    <w:pitch w:val="variable"/>
    <w:sig w:usb0="00000087" w:usb1="00000000" w:usb2="00000000" w:usb3="00000000" w:csb0="0000001B" w:csb1="00000000"/>
  </w:font>
  <w:font w:name="Trajan Pro">
    <w:panose1 w:val="00000000000000000000"/>
    <w:charset w:val="00"/>
    <w:family w:val="roman"/>
    <w:notTrueType/>
    <w:pitch w:val="variable"/>
    <w:sig w:usb0="00000007" w:usb1="00000000" w:usb2="000000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38D6" w:rsidRDefault="007538D6" w:rsidP="00A8105E">
      <w:r>
        <w:separator/>
      </w:r>
    </w:p>
  </w:footnote>
  <w:footnote w:type="continuationSeparator" w:id="0">
    <w:p w:rsidR="007538D6" w:rsidRDefault="007538D6" w:rsidP="00A810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251" w:rsidRDefault="00980251" w:rsidP="00A8105E">
    <w:pPr>
      <w:pStyle w:val="Encabezado"/>
      <w:jc w:val="center"/>
      <w:rPr>
        <w:color w:val="595959"/>
        <w:sz w:val="18"/>
        <w:szCs w:val="18"/>
      </w:rPr>
    </w:pPr>
  </w:p>
  <w:p w:rsidR="00980251" w:rsidRPr="001B64F3" w:rsidRDefault="003E0888" w:rsidP="00A8105E">
    <w:pPr>
      <w:pStyle w:val="Encabezado"/>
      <w:jc w:val="center"/>
      <w:rPr>
        <w:color w:val="595959"/>
        <w:sz w:val="18"/>
        <w:szCs w:val="18"/>
      </w:rPr>
    </w:pPr>
    <w:r>
      <w:rPr>
        <w:rFonts w:ascii="Trajan Pro" w:hAnsi="Trajan Pro"/>
        <w:b/>
        <w:noProof/>
        <w:sz w:val="20"/>
        <w:szCs w:val="20"/>
        <w:lang w:val="es-MX" w:eastAsia="es-MX"/>
      </w:rPr>
      <w:drawing>
        <wp:anchor distT="0" distB="0" distL="114300" distR="114300" simplePos="0" relativeHeight="251658240" behindDoc="0" locked="0" layoutInCell="1" allowOverlap="1" wp14:anchorId="67ACCDCF" wp14:editId="6B606C6B">
          <wp:simplePos x="0" y="0"/>
          <wp:positionH relativeFrom="column">
            <wp:posOffset>0</wp:posOffset>
          </wp:positionH>
          <wp:positionV relativeFrom="paragraph">
            <wp:posOffset>38735</wp:posOffset>
          </wp:positionV>
          <wp:extent cx="1610360" cy="618490"/>
          <wp:effectExtent l="0" t="0" r="8890" b="0"/>
          <wp:wrapNone/>
          <wp:docPr id="6" name="Imagen 6" descr="SEGOB_horizontal_WE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GOB_horizontal_WEB-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0360"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125D8C">
      <w:rPr>
        <w:color w:val="595959"/>
        <w:sz w:val="18"/>
        <w:szCs w:val="18"/>
      </w:rPr>
      <w:t xml:space="preserve">                                                                                                                                                                                 </w:t>
    </w:r>
    <w:r>
      <w:rPr>
        <w:noProof/>
        <w:color w:val="595959"/>
        <w:sz w:val="18"/>
        <w:szCs w:val="18"/>
        <w:lang w:val="es-MX" w:eastAsia="es-MX"/>
      </w:rPr>
      <w:drawing>
        <wp:inline distT="0" distB="0" distL="0" distR="0" wp14:anchorId="6D2C2620" wp14:editId="51BF9123">
          <wp:extent cx="1228090" cy="682625"/>
          <wp:effectExtent l="0" t="0" r="0" b="3175"/>
          <wp:docPr id="2" name="Imagen 2"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090" cy="682625"/>
                  </a:xfrm>
                  <a:prstGeom prst="rect">
                    <a:avLst/>
                  </a:prstGeom>
                  <a:noFill/>
                  <a:ln>
                    <a:noFill/>
                  </a:ln>
                </pic:spPr>
              </pic:pic>
            </a:graphicData>
          </a:graphic>
        </wp:inline>
      </w:drawing>
    </w:r>
  </w:p>
  <w:p w:rsidR="00125D8C" w:rsidRPr="00026E15" w:rsidRDefault="003E0888" w:rsidP="00125D8C">
    <w:pPr>
      <w:pStyle w:val="Encabezado"/>
      <w:jc w:val="right"/>
      <w:rPr>
        <w:rFonts w:ascii="Adobe Caslon Pro" w:hAnsi="Adobe Caslon Pro" w:cs="Arial"/>
        <w:i/>
        <w:color w:val="7F7F7F"/>
        <w:sz w:val="20"/>
      </w:rPr>
    </w:pPr>
    <w:r>
      <w:rPr>
        <w:rFonts w:ascii="Trajan Pro" w:hAnsi="Trajan Pro"/>
        <w:b/>
        <w:noProof/>
        <w:sz w:val="20"/>
        <w:szCs w:val="20"/>
        <w:lang w:val="es-MX" w:eastAsia="es-MX"/>
      </w:rPr>
      <w:drawing>
        <wp:anchor distT="0" distB="0" distL="114300" distR="114300" simplePos="0" relativeHeight="251657216" behindDoc="1" locked="0" layoutInCell="1" allowOverlap="1" wp14:anchorId="3D2FBAC4" wp14:editId="6B1CBCE1">
          <wp:simplePos x="0" y="0"/>
          <wp:positionH relativeFrom="column">
            <wp:posOffset>878840</wp:posOffset>
          </wp:positionH>
          <wp:positionV relativeFrom="paragraph">
            <wp:posOffset>2045970</wp:posOffset>
          </wp:positionV>
          <wp:extent cx="4479925" cy="4479925"/>
          <wp:effectExtent l="0" t="0" r="0"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479925" cy="4479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654F5"/>
    <w:multiLevelType w:val="hybridMultilevel"/>
    <w:tmpl w:val="161A2714"/>
    <w:lvl w:ilvl="0" w:tplc="4F9683CE">
      <w:start w:val="7"/>
      <w:numFmt w:val="decimal"/>
      <w:lvlText w:val="%1."/>
      <w:lvlJc w:val="left"/>
      <w:pPr>
        <w:ind w:left="720" w:hanging="360"/>
      </w:pPr>
      <w:rPr>
        <w:rFonts w:ascii="Adobe Caslon Pro" w:hAnsi="Adobe Caslon Pro" w:hint="default"/>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BDC3161"/>
    <w:multiLevelType w:val="hybridMultilevel"/>
    <w:tmpl w:val="D54C7F02"/>
    <w:lvl w:ilvl="0" w:tplc="200019CC">
      <w:start w:val="1"/>
      <w:numFmt w:val="decimal"/>
      <w:lvlText w:val="%1."/>
      <w:lvlJc w:val="left"/>
      <w:pPr>
        <w:ind w:left="720" w:hanging="360"/>
      </w:pPr>
      <w:rPr>
        <w:rFonts w:ascii="Adobe Caslon Pro" w:hAnsi="Adobe Caslon Pro" w:hint="default"/>
        <w:b w:val="0"/>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0F0266D7"/>
    <w:multiLevelType w:val="hybridMultilevel"/>
    <w:tmpl w:val="399EC31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10164724"/>
    <w:multiLevelType w:val="hybridMultilevel"/>
    <w:tmpl w:val="85D0E0EA"/>
    <w:lvl w:ilvl="0" w:tplc="200019CC">
      <w:start w:val="1"/>
      <w:numFmt w:val="decimal"/>
      <w:lvlText w:val="%1."/>
      <w:lvlJc w:val="left"/>
      <w:pPr>
        <w:ind w:left="720" w:hanging="360"/>
      </w:pPr>
      <w:rPr>
        <w:rFonts w:ascii="Adobe Caslon Pro" w:hAnsi="Adobe Caslon Pro" w:hint="default"/>
        <w:b w:val="0"/>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10247593"/>
    <w:multiLevelType w:val="hybridMultilevel"/>
    <w:tmpl w:val="F050CA9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nsid w:val="11423808"/>
    <w:multiLevelType w:val="hybridMultilevel"/>
    <w:tmpl w:val="89BA1CEE"/>
    <w:lvl w:ilvl="0" w:tplc="080A000F">
      <w:start w:val="1"/>
      <w:numFmt w:val="decimal"/>
      <w:lvlText w:val="%1."/>
      <w:lvlJc w:val="left"/>
      <w:pPr>
        <w:ind w:left="19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11CD18D3"/>
    <w:multiLevelType w:val="hybridMultilevel"/>
    <w:tmpl w:val="A0A43F6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nsid w:val="12AB4BF6"/>
    <w:multiLevelType w:val="hybridMultilevel"/>
    <w:tmpl w:val="51FA4CC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18B74BD5"/>
    <w:multiLevelType w:val="hybridMultilevel"/>
    <w:tmpl w:val="BA9EDF6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19DB182B"/>
    <w:multiLevelType w:val="hybridMultilevel"/>
    <w:tmpl w:val="1B38752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F582249"/>
    <w:multiLevelType w:val="hybridMultilevel"/>
    <w:tmpl w:val="0FCA134C"/>
    <w:lvl w:ilvl="0" w:tplc="080A0001">
      <w:start w:val="1"/>
      <w:numFmt w:val="bullet"/>
      <w:lvlText w:val=""/>
      <w:lvlJc w:val="left"/>
      <w:pPr>
        <w:ind w:left="1494" w:hanging="360"/>
      </w:pPr>
      <w:rPr>
        <w:rFonts w:ascii="Symbol" w:hAnsi="Symbol" w:hint="default"/>
      </w:rPr>
    </w:lvl>
    <w:lvl w:ilvl="1" w:tplc="080A0019">
      <w:start w:val="1"/>
      <w:numFmt w:val="lowerLetter"/>
      <w:lvlText w:val="%2."/>
      <w:lvlJc w:val="left"/>
      <w:pPr>
        <w:ind w:left="2214" w:hanging="360"/>
      </w:pPr>
    </w:lvl>
    <w:lvl w:ilvl="2" w:tplc="080A001B">
      <w:start w:val="1"/>
      <w:numFmt w:val="lowerRoman"/>
      <w:lvlText w:val="%3."/>
      <w:lvlJc w:val="right"/>
      <w:pPr>
        <w:ind w:left="2934" w:hanging="180"/>
      </w:pPr>
    </w:lvl>
    <w:lvl w:ilvl="3" w:tplc="080A000F">
      <w:start w:val="1"/>
      <w:numFmt w:val="decimal"/>
      <w:lvlText w:val="%4."/>
      <w:lvlJc w:val="left"/>
      <w:pPr>
        <w:ind w:left="3654" w:hanging="360"/>
      </w:pPr>
    </w:lvl>
    <w:lvl w:ilvl="4" w:tplc="080A0019">
      <w:start w:val="1"/>
      <w:numFmt w:val="lowerLetter"/>
      <w:lvlText w:val="%5."/>
      <w:lvlJc w:val="left"/>
      <w:pPr>
        <w:ind w:left="4374" w:hanging="360"/>
      </w:pPr>
    </w:lvl>
    <w:lvl w:ilvl="5" w:tplc="080A001B">
      <w:start w:val="1"/>
      <w:numFmt w:val="lowerRoman"/>
      <w:lvlText w:val="%6."/>
      <w:lvlJc w:val="right"/>
      <w:pPr>
        <w:ind w:left="5094" w:hanging="180"/>
      </w:pPr>
    </w:lvl>
    <w:lvl w:ilvl="6" w:tplc="080A000F">
      <w:start w:val="1"/>
      <w:numFmt w:val="decimal"/>
      <w:lvlText w:val="%7."/>
      <w:lvlJc w:val="left"/>
      <w:pPr>
        <w:ind w:left="5814" w:hanging="360"/>
      </w:pPr>
    </w:lvl>
    <w:lvl w:ilvl="7" w:tplc="080A0019">
      <w:start w:val="1"/>
      <w:numFmt w:val="lowerLetter"/>
      <w:lvlText w:val="%8."/>
      <w:lvlJc w:val="left"/>
      <w:pPr>
        <w:ind w:left="6534" w:hanging="360"/>
      </w:pPr>
    </w:lvl>
    <w:lvl w:ilvl="8" w:tplc="080A001B">
      <w:start w:val="1"/>
      <w:numFmt w:val="lowerRoman"/>
      <w:lvlText w:val="%9."/>
      <w:lvlJc w:val="right"/>
      <w:pPr>
        <w:ind w:left="7254" w:hanging="180"/>
      </w:pPr>
    </w:lvl>
  </w:abstractNum>
  <w:abstractNum w:abstractNumId="11">
    <w:nsid w:val="229C7ECC"/>
    <w:multiLevelType w:val="hybridMultilevel"/>
    <w:tmpl w:val="4086CD5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42E2315"/>
    <w:multiLevelType w:val="hybridMultilevel"/>
    <w:tmpl w:val="364C74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CE473FB"/>
    <w:multiLevelType w:val="hybridMultilevel"/>
    <w:tmpl w:val="A0A43F6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2D060640"/>
    <w:multiLevelType w:val="hybridMultilevel"/>
    <w:tmpl w:val="CE6A2CD0"/>
    <w:lvl w:ilvl="0" w:tplc="6F66FE32">
      <w:start w:val="8"/>
      <w:numFmt w:val="decimal"/>
      <w:lvlText w:val="%1."/>
      <w:lvlJc w:val="left"/>
      <w:pPr>
        <w:ind w:left="720" w:hanging="360"/>
      </w:pPr>
      <w:rPr>
        <w:rFonts w:ascii="Adobe Caslon Pro" w:hAnsi="Adobe Caslon Pro" w:hint="default"/>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F2C738A"/>
    <w:multiLevelType w:val="hybridMultilevel"/>
    <w:tmpl w:val="24A2DF9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nsid w:val="33447290"/>
    <w:multiLevelType w:val="hybridMultilevel"/>
    <w:tmpl w:val="AF26FA2C"/>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33FD3155"/>
    <w:multiLevelType w:val="hybridMultilevel"/>
    <w:tmpl w:val="BA9EDF6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38664F8B"/>
    <w:multiLevelType w:val="hybridMultilevel"/>
    <w:tmpl w:val="98AC6732"/>
    <w:lvl w:ilvl="0" w:tplc="34FAA272">
      <w:start w:val="2011"/>
      <w:numFmt w:val="bullet"/>
      <w:lvlText w:val=""/>
      <w:lvlJc w:val="left"/>
      <w:pPr>
        <w:ind w:left="720" w:hanging="360"/>
      </w:pPr>
      <w:rPr>
        <w:rFonts w:ascii="Symbol" w:eastAsia="Calibri" w:hAnsi="Symbol"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nsid w:val="3F902C2E"/>
    <w:multiLevelType w:val="hybridMultilevel"/>
    <w:tmpl w:val="85D0E0EA"/>
    <w:lvl w:ilvl="0" w:tplc="200019CC">
      <w:start w:val="1"/>
      <w:numFmt w:val="decimal"/>
      <w:lvlText w:val="%1."/>
      <w:lvlJc w:val="left"/>
      <w:pPr>
        <w:ind w:left="720" w:hanging="360"/>
      </w:pPr>
      <w:rPr>
        <w:rFonts w:ascii="Adobe Caslon Pro" w:hAnsi="Adobe Caslon Pro" w:hint="default"/>
        <w:b w:val="0"/>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42F4532A"/>
    <w:multiLevelType w:val="hybridMultilevel"/>
    <w:tmpl w:val="BA9EDF6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nsid w:val="43DF10DD"/>
    <w:multiLevelType w:val="hybridMultilevel"/>
    <w:tmpl w:val="060448B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nsid w:val="45730281"/>
    <w:multiLevelType w:val="hybridMultilevel"/>
    <w:tmpl w:val="D54C7F02"/>
    <w:lvl w:ilvl="0" w:tplc="200019CC">
      <w:start w:val="1"/>
      <w:numFmt w:val="decimal"/>
      <w:lvlText w:val="%1."/>
      <w:lvlJc w:val="left"/>
      <w:pPr>
        <w:ind w:left="720" w:hanging="360"/>
      </w:pPr>
      <w:rPr>
        <w:rFonts w:ascii="Adobe Caslon Pro" w:hAnsi="Adobe Caslon Pro" w:hint="default"/>
        <w:b w:val="0"/>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nsid w:val="4A543A2C"/>
    <w:multiLevelType w:val="hybridMultilevel"/>
    <w:tmpl w:val="8F063C28"/>
    <w:lvl w:ilvl="0" w:tplc="33188E40">
      <w:start w:val="1"/>
      <w:numFmt w:val="bullet"/>
      <w:lvlText w:val=""/>
      <w:lvlJc w:val="left"/>
      <w:pPr>
        <w:ind w:left="1788" w:hanging="360"/>
      </w:pPr>
      <w:rPr>
        <w:rFonts w:ascii="Symbol" w:hAnsi="Symbol" w:hint="default"/>
        <w:sz w:val="18"/>
      </w:rPr>
    </w:lvl>
    <w:lvl w:ilvl="1" w:tplc="080A0003">
      <w:start w:val="1"/>
      <w:numFmt w:val="bullet"/>
      <w:lvlText w:val="o"/>
      <w:lvlJc w:val="left"/>
      <w:pPr>
        <w:ind w:left="2508" w:hanging="360"/>
      </w:pPr>
      <w:rPr>
        <w:rFonts w:ascii="Courier New" w:hAnsi="Courier New" w:cs="Courier New" w:hint="default"/>
      </w:rPr>
    </w:lvl>
    <w:lvl w:ilvl="2" w:tplc="080A0005">
      <w:start w:val="1"/>
      <w:numFmt w:val="bullet"/>
      <w:lvlText w:val=""/>
      <w:lvlJc w:val="left"/>
      <w:pPr>
        <w:ind w:left="3228" w:hanging="360"/>
      </w:pPr>
      <w:rPr>
        <w:rFonts w:ascii="Wingdings" w:hAnsi="Wingdings" w:hint="default"/>
      </w:rPr>
    </w:lvl>
    <w:lvl w:ilvl="3" w:tplc="080A0001">
      <w:start w:val="1"/>
      <w:numFmt w:val="bullet"/>
      <w:lvlText w:val=""/>
      <w:lvlJc w:val="left"/>
      <w:pPr>
        <w:ind w:left="3948" w:hanging="360"/>
      </w:pPr>
      <w:rPr>
        <w:rFonts w:ascii="Symbol" w:hAnsi="Symbol" w:hint="default"/>
      </w:rPr>
    </w:lvl>
    <w:lvl w:ilvl="4" w:tplc="080A0003">
      <w:start w:val="1"/>
      <w:numFmt w:val="bullet"/>
      <w:lvlText w:val="o"/>
      <w:lvlJc w:val="left"/>
      <w:pPr>
        <w:ind w:left="4668" w:hanging="360"/>
      </w:pPr>
      <w:rPr>
        <w:rFonts w:ascii="Courier New" w:hAnsi="Courier New" w:cs="Courier New" w:hint="default"/>
      </w:rPr>
    </w:lvl>
    <w:lvl w:ilvl="5" w:tplc="080A0005">
      <w:start w:val="1"/>
      <w:numFmt w:val="bullet"/>
      <w:lvlText w:val=""/>
      <w:lvlJc w:val="left"/>
      <w:pPr>
        <w:ind w:left="5388" w:hanging="360"/>
      </w:pPr>
      <w:rPr>
        <w:rFonts w:ascii="Wingdings" w:hAnsi="Wingdings" w:hint="default"/>
      </w:rPr>
    </w:lvl>
    <w:lvl w:ilvl="6" w:tplc="080A0001">
      <w:start w:val="1"/>
      <w:numFmt w:val="bullet"/>
      <w:lvlText w:val=""/>
      <w:lvlJc w:val="left"/>
      <w:pPr>
        <w:ind w:left="6108" w:hanging="360"/>
      </w:pPr>
      <w:rPr>
        <w:rFonts w:ascii="Symbol" w:hAnsi="Symbol" w:hint="default"/>
      </w:rPr>
    </w:lvl>
    <w:lvl w:ilvl="7" w:tplc="080A0003">
      <w:start w:val="1"/>
      <w:numFmt w:val="bullet"/>
      <w:lvlText w:val="o"/>
      <w:lvlJc w:val="left"/>
      <w:pPr>
        <w:ind w:left="6828" w:hanging="360"/>
      </w:pPr>
      <w:rPr>
        <w:rFonts w:ascii="Courier New" w:hAnsi="Courier New" w:cs="Courier New" w:hint="default"/>
      </w:rPr>
    </w:lvl>
    <w:lvl w:ilvl="8" w:tplc="080A0005">
      <w:start w:val="1"/>
      <w:numFmt w:val="bullet"/>
      <w:lvlText w:val=""/>
      <w:lvlJc w:val="left"/>
      <w:pPr>
        <w:ind w:left="7548" w:hanging="360"/>
      </w:pPr>
      <w:rPr>
        <w:rFonts w:ascii="Wingdings" w:hAnsi="Wingdings" w:hint="default"/>
      </w:rPr>
    </w:lvl>
  </w:abstractNum>
  <w:abstractNum w:abstractNumId="24">
    <w:nsid w:val="4DCA0CF5"/>
    <w:multiLevelType w:val="hybridMultilevel"/>
    <w:tmpl w:val="DBA6F31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4FC57EB3"/>
    <w:multiLevelType w:val="hybridMultilevel"/>
    <w:tmpl w:val="BA9EDF6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nsid w:val="55816E83"/>
    <w:multiLevelType w:val="hybridMultilevel"/>
    <w:tmpl w:val="BA9EDF6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56CA55E3"/>
    <w:multiLevelType w:val="hybridMultilevel"/>
    <w:tmpl w:val="4256332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nsid w:val="57B502D0"/>
    <w:multiLevelType w:val="hybridMultilevel"/>
    <w:tmpl w:val="060448B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5833714F"/>
    <w:multiLevelType w:val="hybridMultilevel"/>
    <w:tmpl w:val="353E031A"/>
    <w:lvl w:ilvl="0" w:tplc="53729D2A">
      <w:start w:val="1"/>
      <w:numFmt w:val="bullet"/>
      <w:lvlText w:val=""/>
      <w:lvlJc w:val="left"/>
      <w:pPr>
        <w:ind w:left="1788" w:hanging="360"/>
      </w:pPr>
      <w:rPr>
        <w:rFonts w:ascii="Symbol" w:hAnsi="Symbol" w:hint="default"/>
        <w:sz w:val="18"/>
      </w:rPr>
    </w:lvl>
    <w:lvl w:ilvl="1" w:tplc="080A0003">
      <w:start w:val="1"/>
      <w:numFmt w:val="bullet"/>
      <w:lvlText w:val="o"/>
      <w:lvlJc w:val="left"/>
      <w:pPr>
        <w:ind w:left="2508" w:hanging="360"/>
      </w:pPr>
      <w:rPr>
        <w:rFonts w:ascii="Courier New" w:hAnsi="Courier New" w:cs="Courier New" w:hint="default"/>
      </w:rPr>
    </w:lvl>
    <w:lvl w:ilvl="2" w:tplc="080A0005">
      <w:start w:val="1"/>
      <w:numFmt w:val="bullet"/>
      <w:lvlText w:val=""/>
      <w:lvlJc w:val="left"/>
      <w:pPr>
        <w:ind w:left="3228" w:hanging="360"/>
      </w:pPr>
      <w:rPr>
        <w:rFonts w:ascii="Wingdings" w:hAnsi="Wingdings" w:hint="default"/>
      </w:rPr>
    </w:lvl>
    <w:lvl w:ilvl="3" w:tplc="080A0001">
      <w:start w:val="1"/>
      <w:numFmt w:val="bullet"/>
      <w:lvlText w:val=""/>
      <w:lvlJc w:val="left"/>
      <w:pPr>
        <w:ind w:left="3948" w:hanging="360"/>
      </w:pPr>
      <w:rPr>
        <w:rFonts w:ascii="Symbol" w:hAnsi="Symbol" w:hint="default"/>
      </w:rPr>
    </w:lvl>
    <w:lvl w:ilvl="4" w:tplc="080A0003">
      <w:start w:val="1"/>
      <w:numFmt w:val="bullet"/>
      <w:lvlText w:val="o"/>
      <w:lvlJc w:val="left"/>
      <w:pPr>
        <w:ind w:left="4668" w:hanging="360"/>
      </w:pPr>
      <w:rPr>
        <w:rFonts w:ascii="Courier New" w:hAnsi="Courier New" w:cs="Courier New" w:hint="default"/>
      </w:rPr>
    </w:lvl>
    <w:lvl w:ilvl="5" w:tplc="080A0005">
      <w:start w:val="1"/>
      <w:numFmt w:val="bullet"/>
      <w:lvlText w:val=""/>
      <w:lvlJc w:val="left"/>
      <w:pPr>
        <w:ind w:left="5388" w:hanging="360"/>
      </w:pPr>
      <w:rPr>
        <w:rFonts w:ascii="Wingdings" w:hAnsi="Wingdings" w:hint="default"/>
      </w:rPr>
    </w:lvl>
    <w:lvl w:ilvl="6" w:tplc="080A0001">
      <w:start w:val="1"/>
      <w:numFmt w:val="bullet"/>
      <w:lvlText w:val=""/>
      <w:lvlJc w:val="left"/>
      <w:pPr>
        <w:ind w:left="6108" w:hanging="360"/>
      </w:pPr>
      <w:rPr>
        <w:rFonts w:ascii="Symbol" w:hAnsi="Symbol" w:hint="default"/>
      </w:rPr>
    </w:lvl>
    <w:lvl w:ilvl="7" w:tplc="080A0003">
      <w:start w:val="1"/>
      <w:numFmt w:val="bullet"/>
      <w:lvlText w:val="o"/>
      <w:lvlJc w:val="left"/>
      <w:pPr>
        <w:ind w:left="6828" w:hanging="360"/>
      </w:pPr>
      <w:rPr>
        <w:rFonts w:ascii="Courier New" w:hAnsi="Courier New" w:cs="Courier New" w:hint="default"/>
      </w:rPr>
    </w:lvl>
    <w:lvl w:ilvl="8" w:tplc="080A0005">
      <w:start w:val="1"/>
      <w:numFmt w:val="bullet"/>
      <w:lvlText w:val=""/>
      <w:lvlJc w:val="left"/>
      <w:pPr>
        <w:ind w:left="7548" w:hanging="360"/>
      </w:pPr>
      <w:rPr>
        <w:rFonts w:ascii="Wingdings" w:hAnsi="Wingdings" w:hint="default"/>
      </w:rPr>
    </w:lvl>
  </w:abstractNum>
  <w:abstractNum w:abstractNumId="30">
    <w:nsid w:val="59C46B3C"/>
    <w:multiLevelType w:val="hybridMultilevel"/>
    <w:tmpl w:val="33BE75DE"/>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nsid w:val="6329643D"/>
    <w:multiLevelType w:val="hybridMultilevel"/>
    <w:tmpl w:val="F0B0563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nsid w:val="63BE4549"/>
    <w:multiLevelType w:val="hybridMultilevel"/>
    <w:tmpl w:val="761C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8AE27DF"/>
    <w:multiLevelType w:val="hybridMultilevel"/>
    <w:tmpl w:val="12AC90B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nsid w:val="6A35357F"/>
    <w:multiLevelType w:val="hybridMultilevel"/>
    <w:tmpl w:val="33689964"/>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35">
    <w:nsid w:val="6EA44E4C"/>
    <w:multiLevelType w:val="hybridMultilevel"/>
    <w:tmpl w:val="F67CBD9A"/>
    <w:lvl w:ilvl="0" w:tplc="096CB9C8">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FD6451D"/>
    <w:multiLevelType w:val="hybridMultilevel"/>
    <w:tmpl w:val="7F8EEFF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70001021"/>
    <w:multiLevelType w:val="hybridMultilevel"/>
    <w:tmpl w:val="BA9EDF6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nsid w:val="72125CCA"/>
    <w:multiLevelType w:val="hybridMultilevel"/>
    <w:tmpl w:val="0A5A740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4617C29"/>
    <w:multiLevelType w:val="hybridMultilevel"/>
    <w:tmpl w:val="FD94B7BE"/>
    <w:lvl w:ilvl="0" w:tplc="920675A6">
      <w:start w:val="1"/>
      <w:numFmt w:val="bullet"/>
      <w:lvlText w:val=""/>
      <w:lvlJc w:val="left"/>
      <w:pPr>
        <w:ind w:left="1788" w:hanging="360"/>
      </w:pPr>
      <w:rPr>
        <w:rFonts w:ascii="Symbol" w:hAnsi="Symbol" w:hint="default"/>
        <w:sz w:val="18"/>
      </w:rPr>
    </w:lvl>
    <w:lvl w:ilvl="1" w:tplc="080A0003">
      <w:start w:val="1"/>
      <w:numFmt w:val="bullet"/>
      <w:lvlText w:val="o"/>
      <w:lvlJc w:val="left"/>
      <w:pPr>
        <w:ind w:left="2508" w:hanging="360"/>
      </w:pPr>
      <w:rPr>
        <w:rFonts w:ascii="Courier New" w:hAnsi="Courier New" w:cs="Courier New" w:hint="default"/>
      </w:rPr>
    </w:lvl>
    <w:lvl w:ilvl="2" w:tplc="080A0005">
      <w:start w:val="1"/>
      <w:numFmt w:val="bullet"/>
      <w:lvlText w:val=""/>
      <w:lvlJc w:val="left"/>
      <w:pPr>
        <w:ind w:left="3228" w:hanging="360"/>
      </w:pPr>
      <w:rPr>
        <w:rFonts w:ascii="Wingdings" w:hAnsi="Wingdings" w:hint="default"/>
      </w:rPr>
    </w:lvl>
    <w:lvl w:ilvl="3" w:tplc="080A0001">
      <w:start w:val="1"/>
      <w:numFmt w:val="bullet"/>
      <w:lvlText w:val=""/>
      <w:lvlJc w:val="left"/>
      <w:pPr>
        <w:ind w:left="3948" w:hanging="360"/>
      </w:pPr>
      <w:rPr>
        <w:rFonts w:ascii="Symbol" w:hAnsi="Symbol" w:hint="default"/>
      </w:rPr>
    </w:lvl>
    <w:lvl w:ilvl="4" w:tplc="080A0003">
      <w:start w:val="1"/>
      <w:numFmt w:val="bullet"/>
      <w:lvlText w:val="o"/>
      <w:lvlJc w:val="left"/>
      <w:pPr>
        <w:ind w:left="4668" w:hanging="360"/>
      </w:pPr>
      <w:rPr>
        <w:rFonts w:ascii="Courier New" w:hAnsi="Courier New" w:cs="Courier New" w:hint="default"/>
      </w:rPr>
    </w:lvl>
    <w:lvl w:ilvl="5" w:tplc="080A0005">
      <w:start w:val="1"/>
      <w:numFmt w:val="bullet"/>
      <w:lvlText w:val=""/>
      <w:lvlJc w:val="left"/>
      <w:pPr>
        <w:ind w:left="5388" w:hanging="360"/>
      </w:pPr>
      <w:rPr>
        <w:rFonts w:ascii="Wingdings" w:hAnsi="Wingdings" w:hint="default"/>
      </w:rPr>
    </w:lvl>
    <w:lvl w:ilvl="6" w:tplc="080A0001">
      <w:start w:val="1"/>
      <w:numFmt w:val="bullet"/>
      <w:lvlText w:val=""/>
      <w:lvlJc w:val="left"/>
      <w:pPr>
        <w:ind w:left="6108" w:hanging="360"/>
      </w:pPr>
      <w:rPr>
        <w:rFonts w:ascii="Symbol" w:hAnsi="Symbol" w:hint="default"/>
      </w:rPr>
    </w:lvl>
    <w:lvl w:ilvl="7" w:tplc="080A0003">
      <w:start w:val="1"/>
      <w:numFmt w:val="bullet"/>
      <w:lvlText w:val="o"/>
      <w:lvlJc w:val="left"/>
      <w:pPr>
        <w:ind w:left="6828" w:hanging="360"/>
      </w:pPr>
      <w:rPr>
        <w:rFonts w:ascii="Courier New" w:hAnsi="Courier New" w:cs="Courier New" w:hint="default"/>
      </w:rPr>
    </w:lvl>
    <w:lvl w:ilvl="8" w:tplc="080A0005">
      <w:start w:val="1"/>
      <w:numFmt w:val="bullet"/>
      <w:lvlText w:val=""/>
      <w:lvlJc w:val="left"/>
      <w:pPr>
        <w:ind w:left="7548" w:hanging="360"/>
      </w:pPr>
      <w:rPr>
        <w:rFonts w:ascii="Wingdings" w:hAnsi="Wingdings" w:hint="default"/>
      </w:rPr>
    </w:lvl>
  </w:abstractNum>
  <w:abstractNum w:abstractNumId="40">
    <w:nsid w:val="75B022E3"/>
    <w:multiLevelType w:val="hybridMultilevel"/>
    <w:tmpl w:val="17265CE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1">
    <w:nsid w:val="7659134E"/>
    <w:multiLevelType w:val="hybridMultilevel"/>
    <w:tmpl w:val="7F8EEFF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nsid w:val="78261D1F"/>
    <w:multiLevelType w:val="hybridMultilevel"/>
    <w:tmpl w:val="060448B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3">
    <w:nsid w:val="7C4B285A"/>
    <w:multiLevelType w:val="hybridMultilevel"/>
    <w:tmpl w:val="339AF108"/>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44">
    <w:nsid w:val="7C953F62"/>
    <w:multiLevelType w:val="hybridMultilevel"/>
    <w:tmpl w:val="B9D4A1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4"/>
  </w:num>
  <w:num w:numId="2">
    <w:abstractNumId w:val="43"/>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39"/>
  </w:num>
  <w:num w:numId="15">
    <w:abstractNumId w:val="29"/>
  </w:num>
  <w:num w:numId="1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num>
  <w:num w:numId="23">
    <w:abstractNumId w:val="18"/>
  </w:num>
  <w:num w:numId="24">
    <w:abstractNumId w:val="2"/>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3"/>
  </w:num>
  <w:num w:numId="28">
    <w:abstractNumId w:val="32"/>
  </w:num>
  <w:num w:numId="29">
    <w:abstractNumId w:val="24"/>
  </w:num>
  <w:num w:numId="30">
    <w:abstractNumId w:val="35"/>
  </w:num>
  <w:num w:numId="31">
    <w:abstractNumId w:val="14"/>
  </w:num>
  <w:num w:numId="32">
    <w:abstractNumId w:val="0"/>
  </w:num>
  <w:num w:numId="33">
    <w:abstractNumId w:val="40"/>
  </w:num>
  <w:num w:numId="34">
    <w:abstractNumId w:val="11"/>
  </w:num>
  <w:num w:numId="35">
    <w:abstractNumId w:val="9"/>
  </w:num>
  <w:num w:numId="36">
    <w:abstractNumId w:val="12"/>
  </w:num>
  <w:num w:numId="37">
    <w:abstractNumId w:val="38"/>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num>
  <w:num w:numId="40">
    <w:abstractNumId w:val="17"/>
  </w:num>
  <w:num w:numId="41">
    <w:abstractNumId w:val="26"/>
  </w:num>
  <w:num w:numId="42">
    <w:abstractNumId w:val="20"/>
  </w:num>
  <w:num w:numId="43">
    <w:abstractNumId w:val="44"/>
  </w:num>
  <w:num w:numId="44">
    <w:abstractNumId w:val="37"/>
  </w:num>
  <w:num w:numId="45">
    <w:abstractNumId w:val="16"/>
  </w:num>
  <w:num w:numId="4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934"/>
    <w:rsid w:val="0000751F"/>
    <w:rsid w:val="00012FCB"/>
    <w:rsid w:val="00013396"/>
    <w:rsid w:val="0001490A"/>
    <w:rsid w:val="00030339"/>
    <w:rsid w:val="000347E4"/>
    <w:rsid w:val="00041C92"/>
    <w:rsid w:val="00041DDC"/>
    <w:rsid w:val="00044F02"/>
    <w:rsid w:val="00056E92"/>
    <w:rsid w:val="0006048F"/>
    <w:rsid w:val="00060B98"/>
    <w:rsid w:val="00060D58"/>
    <w:rsid w:val="0006130C"/>
    <w:rsid w:val="00062370"/>
    <w:rsid w:val="00065CA3"/>
    <w:rsid w:val="000706D7"/>
    <w:rsid w:val="0007676F"/>
    <w:rsid w:val="00080766"/>
    <w:rsid w:val="0008599F"/>
    <w:rsid w:val="000A39B8"/>
    <w:rsid w:val="000A3D1D"/>
    <w:rsid w:val="000A7ED9"/>
    <w:rsid w:val="000B6374"/>
    <w:rsid w:val="000C1962"/>
    <w:rsid w:val="000C254E"/>
    <w:rsid w:val="000F660E"/>
    <w:rsid w:val="000F7238"/>
    <w:rsid w:val="001002CD"/>
    <w:rsid w:val="00125D8C"/>
    <w:rsid w:val="00126FF9"/>
    <w:rsid w:val="001326F2"/>
    <w:rsid w:val="00132CDA"/>
    <w:rsid w:val="00134813"/>
    <w:rsid w:val="0013487D"/>
    <w:rsid w:val="0013496C"/>
    <w:rsid w:val="00136288"/>
    <w:rsid w:val="00145841"/>
    <w:rsid w:val="001502E6"/>
    <w:rsid w:val="001651AD"/>
    <w:rsid w:val="00175584"/>
    <w:rsid w:val="00177FCD"/>
    <w:rsid w:val="00180762"/>
    <w:rsid w:val="00181D0B"/>
    <w:rsid w:val="00187256"/>
    <w:rsid w:val="0019085F"/>
    <w:rsid w:val="001B64F3"/>
    <w:rsid w:val="001C5369"/>
    <w:rsid w:val="001C6D1F"/>
    <w:rsid w:val="001D060B"/>
    <w:rsid w:val="001D2183"/>
    <w:rsid w:val="001E03FC"/>
    <w:rsid w:val="001F5466"/>
    <w:rsid w:val="002049DE"/>
    <w:rsid w:val="002136BA"/>
    <w:rsid w:val="00213B59"/>
    <w:rsid w:val="00217625"/>
    <w:rsid w:val="002454CA"/>
    <w:rsid w:val="002755BB"/>
    <w:rsid w:val="00285B13"/>
    <w:rsid w:val="00295547"/>
    <w:rsid w:val="002957B0"/>
    <w:rsid w:val="00297462"/>
    <w:rsid w:val="002A1977"/>
    <w:rsid w:val="002A5F70"/>
    <w:rsid w:val="002B0425"/>
    <w:rsid w:val="002C25F3"/>
    <w:rsid w:val="002D2022"/>
    <w:rsid w:val="002D2335"/>
    <w:rsid w:val="002D4891"/>
    <w:rsid w:val="002D544A"/>
    <w:rsid w:val="002E24B3"/>
    <w:rsid w:val="002E3355"/>
    <w:rsid w:val="002E389F"/>
    <w:rsid w:val="00303D31"/>
    <w:rsid w:val="00304AFC"/>
    <w:rsid w:val="00305881"/>
    <w:rsid w:val="003149D1"/>
    <w:rsid w:val="00333FFE"/>
    <w:rsid w:val="003421AA"/>
    <w:rsid w:val="00344AD5"/>
    <w:rsid w:val="00357E61"/>
    <w:rsid w:val="00363FAF"/>
    <w:rsid w:val="003743DC"/>
    <w:rsid w:val="00376C49"/>
    <w:rsid w:val="003779AF"/>
    <w:rsid w:val="00384700"/>
    <w:rsid w:val="00386702"/>
    <w:rsid w:val="00391E29"/>
    <w:rsid w:val="003A6101"/>
    <w:rsid w:val="003B0FA1"/>
    <w:rsid w:val="003B2800"/>
    <w:rsid w:val="003D210F"/>
    <w:rsid w:val="003E0888"/>
    <w:rsid w:val="003E4ED8"/>
    <w:rsid w:val="003E7196"/>
    <w:rsid w:val="003F1A99"/>
    <w:rsid w:val="004021CA"/>
    <w:rsid w:val="0040410C"/>
    <w:rsid w:val="0044201B"/>
    <w:rsid w:val="0045043A"/>
    <w:rsid w:val="00465A40"/>
    <w:rsid w:val="00467399"/>
    <w:rsid w:val="0049546D"/>
    <w:rsid w:val="004A1D3A"/>
    <w:rsid w:val="004A4A7A"/>
    <w:rsid w:val="004C312A"/>
    <w:rsid w:val="004F0DE1"/>
    <w:rsid w:val="004F25EE"/>
    <w:rsid w:val="004F54D1"/>
    <w:rsid w:val="00512139"/>
    <w:rsid w:val="005133D9"/>
    <w:rsid w:val="00523AD7"/>
    <w:rsid w:val="005242BC"/>
    <w:rsid w:val="0053034E"/>
    <w:rsid w:val="005364F9"/>
    <w:rsid w:val="00551D13"/>
    <w:rsid w:val="005557C4"/>
    <w:rsid w:val="00560961"/>
    <w:rsid w:val="00567641"/>
    <w:rsid w:val="00586205"/>
    <w:rsid w:val="005A077B"/>
    <w:rsid w:val="005A1AA6"/>
    <w:rsid w:val="005C0393"/>
    <w:rsid w:val="005C101A"/>
    <w:rsid w:val="005C644C"/>
    <w:rsid w:val="005C735A"/>
    <w:rsid w:val="005D12FC"/>
    <w:rsid w:val="005D2A05"/>
    <w:rsid w:val="005E1372"/>
    <w:rsid w:val="005E28EB"/>
    <w:rsid w:val="005F5BBD"/>
    <w:rsid w:val="00601DAA"/>
    <w:rsid w:val="00622843"/>
    <w:rsid w:val="006327CB"/>
    <w:rsid w:val="0063736D"/>
    <w:rsid w:val="006408C5"/>
    <w:rsid w:val="00641B26"/>
    <w:rsid w:val="006462A9"/>
    <w:rsid w:val="006512AE"/>
    <w:rsid w:val="00654F5B"/>
    <w:rsid w:val="006560C5"/>
    <w:rsid w:val="0066187B"/>
    <w:rsid w:val="00664326"/>
    <w:rsid w:val="00681712"/>
    <w:rsid w:val="00685594"/>
    <w:rsid w:val="006A4492"/>
    <w:rsid w:val="006A57D0"/>
    <w:rsid w:val="006A79AB"/>
    <w:rsid w:val="006B19B5"/>
    <w:rsid w:val="006B3845"/>
    <w:rsid w:val="006B6FB2"/>
    <w:rsid w:val="006C3C7F"/>
    <w:rsid w:val="006C782E"/>
    <w:rsid w:val="006D3FDD"/>
    <w:rsid w:val="00701686"/>
    <w:rsid w:val="00721CD4"/>
    <w:rsid w:val="0072540A"/>
    <w:rsid w:val="007344E3"/>
    <w:rsid w:val="0075044C"/>
    <w:rsid w:val="007538D6"/>
    <w:rsid w:val="00760B2A"/>
    <w:rsid w:val="00765F7B"/>
    <w:rsid w:val="007742AD"/>
    <w:rsid w:val="007757E2"/>
    <w:rsid w:val="00776D81"/>
    <w:rsid w:val="0078022C"/>
    <w:rsid w:val="00780E43"/>
    <w:rsid w:val="0078355E"/>
    <w:rsid w:val="00787C6B"/>
    <w:rsid w:val="00796928"/>
    <w:rsid w:val="007973E5"/>
    <w:rsid w:val="007A0851"/>
    <w:rsid w:val="007A2D90"/>
    <w:rsid w:val="007E6358"/>
    <w:rsid w:val="007E690E"/>
    <w:rsid w:val="007F43F0"/>
    <w:rsid w:val="007F7ACD"/>
    <w:rsid w:val="00800721"/>
    <w:rsid w:val="00802C21"/>
    <w:rsid w:val="00805F03"/>
    <w:rsid w:val="0082765F"/>
    <w:rsid w:val="00840752"/>
    <w:rsid w:val="00841512"/>
    <w:rsid w:val="00843E7D"/>
    <w:rsid w:val="008457A7"/>
    <w:rsid w:val="00847CF4"/>
    <w:rsid w:val="00850C66"/>
    <w:rsid w:val="00852130"/>
    <w:rsid w:val="008565EE"/>
    <w:rsid w:val="00882C43"/>
    <w:rsid w:val="008A3DB9"/>
    <w:rsid w:val="008A4BB3"/>
    <w:rsid w:val="008A5A85"/>
    <w:rsid w:val="008C6466"/>
    <w:rsid w:val="008D2A9E"/>
    <w:rsid w:val="008D3D6D"/>
    <w:rsid w:val="008F293C"/>
    <w:rsid w:val="008F41F0"/>
    <w:rsid w:val="0090401A"/>
    <w:rsid w:val="009120F0"/>
    <w:rsid w:val="00914CB6"/>
    <w:rsid w:val="0092144E"/>
    <w:rsid w:val="00933481"/>
    <w:rsid w:val="0093417C"/>
    <w:rsid w:val="00934C01"/>
    <w:rsid w:val="00943CC4"/>
    <w:rsid w:val="00954B3F"/>
    <w:rsid w:val="00967FC8"/>
    <w:rsid w:val="00977B40"/>
    <w:rsid w:val="00980251"/>
    <w:rsid w:val="00983622"/>
    <w:rsid w:val="00992CF2"/>
    <w:rsid w:val="00993B87"/>
    <w:rsid w:val="00994B67"/>
    <w:rsid w:val="009A4633"/>
    <w:rsid w:val="009B7965"/>
    <w:rsid w:val="009D2E7E"/>
    <w:rsid w:val="009E1668"/>
    <w:rsid w:val="009E6121"/>
    <w:rsid w:val="00A04E25"/>
    <w:rsid w:val="00A12287"/>
    <w:rsid w:val="00A12F2A"/>
    <w:rsid w:val="00A14AC4"/>
    <w:rsid w:val="00A15CAC"/>
    <w:rsid w:val="00A173D9"/>
    <w:rsid w:val="00A21080"/>
    <w:rsid w:val="00A2233E"/>
    <w:rsid w:val="00A27C0D"/>
    <w:rsid w:val="00A32E48"/>
    <w:rsid w:val="00A54749"/>
    <w:rsid w:val="00A703EB"/>
    <w:rsid w:val="00A73590"/>
    <w:rsid w:val="00A8105E"/>
    <w:rsid w:val="00A810A0"/>
    <w:rsid w:val="00A82901"/>
    <w:rsid w:val="00A84705"/>
    <w:rsid w:val="00AB6279"/>
    <w:rsid w:val="00AC76EE"/>
    <w:rsid w:val="00AD3DF7"/>
    <w:rsid w:val="00AE0F94"/>
    <w:rsid w:val="00AF4AF3"/>
    <w:rsid w:val="00B05B9F"/>
    <w:rsid w:val="00B15AAA"/>
    <w:rsid w:val="00B23674"/>
    <w:rsid w:val="00B245BC"/>
    <w:rsid w:val="00B42632"/>
    <w:rsid w:val="00B4574C"/>
    <w:rsid w:val="00B4764F"/>
    <w:rsid w:val="00B51DC1"/>
    <w:rsid w:val="00B5350C"/>
    <w:rsid w:val="00B53C3F"/>
    <w:rsid w:val="00B565D2"/>
    <w:rsid w:val="00B6119C"/>
    <w:rsid w:val="00B646AD"/>
    <w:rsid w:val="00B733F2"/>
    <w:rsid w:val="00B75257"/>
    <w:rsid w:val="00B80740"/>
    <w:rsid w:val="00B81CA0"/>
    <w:rsid w:val="00B81DD4"/>
    <w:rsid w:val="00BA0B13"/>
    <w:rsid w:val="00BA641A"/>
    <w:rsid w:val="00BA706C"/>
    <w:rsid w:val="00BC017F"/>
    <w:rsid w:val="00BC03E9"/>
    <w:rsid w:val="00BC334D"/>
    <w:rsid w:val="00BC5463"/>
    <w:rsid w:val="00BE0E69"/>
    <w:rsid w:val="00BF3663"/>
    <w:rsid w:val="00BF706B"/>
    <w:rsid w:val="00BF7CBE"/>
    <w:rsid w:val="00C04F23"/>
    <w:rsid w:val="00C062C0"/>
    <w:rsid w:val="00C35C9F"/>
    <w:rsid w:val="00C36E1B"/>
    <w:rsid w:val="00C445A8"/>
    <w:rsid w:val="00C57B0C"/>
    <w:rsid w:val="00C61D91"/>
    <w:rsid w:val="00C73148"/>
    <w:rsid w:val="00CD0A27"/>
    <w:rsid w:val="00CD482E"/>
    <w:rsid w:val="00CD5B09"/>
    <w:rsid w:val="00CE7847"/>
    <w:rsid w:val="00CF0890"/>
    <w:rsid w:val="00CF3AB5"/>
    <w:rsid w:val="00CF614E"/>
    <w:rsid w:val="00D02AD1"/>
    <w:rsid w:val="00D1015B"/>
    <w:rsid w:val="00D26E58"/>
    <w:rsid w:val="00D35934"/>
    <w:rsid w:val="00D47C24"/>
    <w:rsid w:val="00D532EA"/>
    <w:rsid w:val="00D705F6"/>
    <w:rsid w:val="00D721C4"/>
    <w:rsid w:val="00D72919"/>
    <w:rsid w:val="00D73B24"/>
    <w:rsid w:val="00D76AD7"/>
    <w:rsid w:val="00D8742C"/>
    <w:rsid w:val="00D975DE"/>
    <w:rsid w:val="00DA07F1"/>
    <w:rsid w:val="00DB1C7B"/>
    <w:rsid w:val="00DC0D8E"/>
    <w:rsid w:val="00DD3DDB"/>
    <w:rsid w:val="00DD65BB"/>
    <w:rsid w:val="00DE0360"/>
    <w:rsid w:val="00DE4C31"/>
    <w:rsid w:val="00DE7182"/>
    <w:rsid w:val="00E0616A"/>
    <w:rsid w:val="00E25F89"/>
    <w:rsid w:val="00E42EFA"/>
    <w:rsid w:val="00E43652"/>
    <w:rsid w:val="00E5016E"/>
    <w:rsid w:val="00E538BB"/>
    <w:rsid w:val="00E80242"/>
    <w:rsid w:val="00E8048B"/>
    <w:rsid w:val="00E91542"/>
    <w:rsid w:val="00E94E4B"/>
    <w:rsid w:val="00EC3D27"/>
    <w:rsid w:val="00ED0985"/>
    <w:rsid w:val="00F0137C"/>
    <w:rsid w:val="00F10B71"/>
    <w:rsid w:val="00F252D0"/>
    <w:rsid w:val="00F358F0"/>
    <w:rsid w:val="00F501EA"/>
    <w:rsid w:val="00F56C8C"/>
    <w:rsid w:val="00F65293"/>
    <w:rsid w:val="00F7016A"/>
    <w:rsid w:val="00F74B12"/>
    <w:rsid w:val="00F76331"/>
    <w:rsid w:val="00F9589D"/>
    <w:rsid w:val="00FA5C95"/>
    <w:rsid w:val="00FA60B9"/>
    <w:rsid w:val="00FD2534"/>
    <w:rsid w:val="00FE7629"/>
    <w:rsid w:val="00FF62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cxmsonormal">
    <w:name w:val="ecxmsonormal"/>
    <w:basedOn w:val="Normal"/>
    <w:rsid w:val="00D35934"/>
    <w:pPr>
      <w:spacing w:after="324"/>
    </w:pPr>
  </w:style>
  <w:style w:type="paragraph" w:styleId="Encabezado">
    <w:name w:val="header"/>
    <w:basedOn w:val="Normal"/>
    <w:link w:val="EncabezadoCar"/>
    <w:uiPriority w:val="99"/>
    <w:rsid w:val="00A8105E"/>
    <w:pPr>
      <w:tabs>
        <w:tab w:val="center" w:pos="4419"/>
        <w:tab w:val="right" w:pos="8838"/>
      </w:tabs>
    </w:pPr>
  </w:style>
  <w:style w:type="character" w:customStyle="1" w:styleId="EncabezadoCar">
    <w:name w:val="Encabezado Car"/>
    <w:link w:val="Encabezado"/>
    <w:uiPriority w:val="99"/>
    <w:rsid w:val="00A8105E"/>
    <w:rPr>
      <w:sz w:val="24"/>
      <w:szCs w:val="24"/>
      <w:lang w:val="es-ES" w:eastAsia="es-ES"/>
    </w:rPr>
  </w:style>
  <w:style w:type="paragraph" w:styleId="Piedepgina">
    <w:name w:val="footer"/>
    <w:basedOn w:val="Normal"/>
    <w:link w:val="PiedepginaCar"/>
    <w:uiPriority w:val="99"/>
    <w:rsid w:val="00A8105E"/>
    <w:pPr>
      <w:tabs>
        <w:tab w:val="center" w:pos="4419"/>
        <w:tab w:val="right" w:pos="8838"/>
      </w:tabs>
    </w:pPr>
  </w:style>
  <w:style w:type="character" w:customStyle="1" w:styleId="PiedepginaCar">
    <w:name w:val="Pie de página Car"/>
    <w:link w:val="Piedepgina"/>
    <w:uiPriority w:val="99"/>
    <w:rsid w:val="00A8105E"/>
    <w:rPr>
      <w:sz w:val="24"/>
      <w:szCs w:val="24"/>
      <w:lang w:val="es-ES" w:eastAsia="es-ES"/>
    </w:rPr>
  </w:style>
  <w:style w:type="paragraph" w:styleId="Textodeglobo">
    <w:name w:val="Balloon Text"/>
    <w:basedOn w:val="Normal"/>
    <w:link w:val="TextodegloboCar"/>
    <w:rsid w:val="00386702"/>
    <w:rPr>
      <w:rFonts w:ascii="Tahoma" w:hAnsi="Tahoma" w:cs="Tahoma"/>
      <w:sz w:val="16"/>
      <w:szCs w:val="16"/>
    </w:rPr>
  </w:style>
  <w:style w:type="character" w:customStyle="1" w:styleId="TextodegloboCar">
    <w:name w:val="Texto de globo Car"/>
    <w:link w:val="Textodeglobo"/>
    <w:rsid w:val="00386702"/>
    <w:rPr>
      <w:rFonts w:ascii="Tahoma" w:hAnsi="Tahoma" w:cs="Tahoma"/>
      <w:sz w:val="16"/>
      <w:szCs w:val="16"/>
      <w:lang w:val="es-ES" w:eastAsia="es-ES"/>
    </w:rPr>
  </w:style>
  <w:style w:type="table" w:styleId="Cuadrculaclara-nfasis5">
    <w:name w:val="Light Grid Accent 5"/>
    <w:basedOn w:val="Tablanormal"/>
    <w:uiPriority w:val="62"/>
    <w:rsid w:val="00765F7B"/>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Hipervnculo">
    <w:name w:val="Hyperlink"/>
    <w:rsid w:val="0007676F"/>
    <w:rPr>
      <w:color w:val="0000FF"/>
      <w:u w:val="single"/>
    </w:rPr>
  </w:style>
  <w:style w:type="paragraph" w:customStyle="1" w:styleId="davidromas">
    <w:name w:val="david romas"/>
    <w:basedOn w:val="Normal"/>
    <w:rsid w:val="007A2D90"/>
    <w:pPr>
      <w:spacing w:after="101" w:line="216" w:lineRule="atLeast"/>
      <w:ind w:left="1620" w:hanging="1350"/>
      <w:jc w:val="both"/>
    </w:pPr>
    <w:rPr>
      <w:rFonts w:ascii="Arial" w:hAnsi="Arial"/>
      <w:sz w:val="18"/>
      <w:szCs w:val="20"/>
      <w:lang w:val="es-ES_tradnl"/>
    </w:rPr>
  </w:style>
  <w:style w:type="character" w:customStyle="1" w:styleId="apple-converted-space">
    <w:name w:val="apple-converted-space"/>
    <w:rsid w:val="002D544A"/>
  </w:style>
  <w:style w:type="paragraph" w:styleId="Textoindependiente">
    <w:name w:val="Body Text"/>
    <w:basedOn w:val="Normal"/>
    <w:link w:val="TextoindependienteCar"/>
    <w:unhideWhenUsed/>
    <w:rsid w:val="0090401A"/>
    <w:pPr>
      <w:spacing w:before="120" w:after="120"/>
      <w:jc w:val="both"/>
    </w:pPr>
    <w:rPr>
      <w:rFonts w:ascii="Helvetica-Normal" w:hAnsi="Helvetica-Normal"/>
      <w:sz w:val="18"/>
      <w:szCs w:val="18"/>
    </w:rPr>
  </w:style>
  <w:style w:type="character" w:customStyle="1" w:styleId="TextoindependienteCar">
    <w:name w:val="Texto independiente Car"/>
    <w:link w:val="Textoindependiente"/>
    <w:rsid w:val="0090401A"/>
    <w:rPr>
      <w:rFonts w:ascii="Helvetica-Normal" w:hAnsi="Helvetica-Normal"/>
      <w:sz w:val="18"/>
      <w:szCs w:val="18"/>
      <w:lang w:val="es-ES" w:eastAsia="es-ES"/>
    </w:rPr>
  </w:style>
  <w:style w:type="paragraph" w:styleId="Prrafodelista">
    <w:name w:val="List Paragraph"/>
    <w:basedOn w:val="Normal"/>
    <w:uiPriority w:val="34"/>
    <w:qFormat/>
    <w:rsid w:val="007E6358"/>
    <w:pPr>
      <w:spacing w:after="200" w:line="276" w:lineRule="auto"/>
      <w:ind w:left="720"/>
      <w:contextualSpacing/>
    </w:pPr>
    <w:rPr>
      <w:rFonts w:ascii="Calibri" w:eastAsia="Calibri" w:hAnsi="Calibri"/>
      <w:sz w:val="22"/>
      <w:szCs w:val="22"/>
      <w:lang w:val="es-MX" w:eastAsia="en-US"/>
    </w:rPr>
  </w:style>
  <w:style w:type="table" w:styleId="Tablaconcuadrcula">
    <w:name w:val="Table Grid"/>
    <w:basedOn w:val="Tablanormal"/>
    <w:uiPriority w:val="59"/>
    <w:rsid w:val="005A077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rsid w:val="0078355E"/>
    <w:rPr>
      <w:sz w:val="16"/>
      <w:szCs w:val="16"/>
    </w:rPr>
  </w:style>
  <w:style w:type="paragraph" w:styleId="Textocomentario">
    <w:name w:val="annotation text"/>
    <w:basedOn w:val="Normal"/>
    <w:link w:val="TextocomentarioCar"/>
    <w:rsid w:val="0078355E"/>
    <w:rPr>
      <w:sz w:val="20"/>
      <w:szCs w:val="20"/>
    </w:rPr>
  </w:style>
  <w:style w:type="character" w:customStyle="1" w:styleId="TextocomentarioCar">
    <w:name w:val="Texto comentario Car"/>
    <w:link w:val="Textocomentario"/>
    <w:rsid w:val="0078355E"/>
    <w:rPr>
      <w:lang w:val="es-ES" w:eastAsia="es-ES"/>
    </w:rPr>
  </w:style>
  <w:style w:type="paragraph" w:styleId="Asuntodelcomentario">
    <w:name w:val="annotation subject"/>
    <w:basedOn w:val="Textocomentario"/>
    <w:next w:val="Textocomentario"/>
    <w:link w:val="AsuntodelcomentarioCar"/>
    <w:rsid w:val="0078355E"/>
    <w:rPr>
      <w:b/>
      <w:bCs/>
    </w:rPr>
  </w:style>
  <w:style w:type="character" w:customStyle="1" w:styleId="AsuntodelcomentarioCar">
    <w:name w:val="Asunto del comentario Car"/>
    <w:link w:val="Asuntodelcomentario"/>
    <w:rsid w:val="0078355E"/>
    <w:rPr>
      <w:b/>
      <w:bCs/>
      <w:lang w:val="es-ES" w:eastAsia="es-ES"/>
    </w:rPr>
  </w:style>
  <w:style w:type="table" w:customStyle="1" w:styleId="Tablaconcuadrcula1">
    <w:name w:val="Tabla con cuadrícula1"/>
    <w:basedOn w:val="Tablanormal"/>
    <w:next w:val="Tablaconcuadrcula"/>
    <w:uiPriority w:val="59"/>
    <w:rsid w:val="00D975D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rsid w:val="00012FC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cxmsonormal">
    <w:name w:val="ecxmsonormal"/>
    <w:basedOn w:val="Normal"/>
    <w:rsid w:val="00D35934"/>
    <w:pPr>
      <w:spacing w:after="324"/>
    </w:pPr>
  </w:style>
  <w:style w:type="paragraph" w:styleId="Encabezado">
    <w:name w:val="header"/>
    <w:basedOn w:val="Normal"/>
    <w:link w:val="EncabezadoCar"/>
    <w:uiPriority w:val="99"/>
    <w:rsid w:val="00A8105E"/>
    <w:pPr>
      <w:tabs>
        <w:tab w:val="center" w:pos="4419"/>
        <w:tab w:val="right" w:pos="8838"/>
      </w:tabs>
    </w:pPr>
  </w:style>
  <w:style w:type="character" w:customStyle="1" w:styleId="EncabezadoCar">
    <w:name w:val="Encabezado Car"/>
    <w:link w:val="Encabezado"/>
    <w:uiPriority w:val="99"/>
    <w:rsid w:val="00A8105E"/>
    <w:rPr>
      <w:sz w:val="24"/>
      <w:szCs w:val="24"/>
      <w:lang w:val="es-ES" w:eastAsia="es-ES"/>
    </w:rPr>
  </w:style>
  <w:style w:type="paragraph" w:styleId="Piedepgina">
    <w:name w:val="footer"/>
    <w:basedOn w:val="Normal"/>
    <w:link w:val="PiedepginaCar"/>
    <w:uiPriority w:val="99"/>
    <w:rsid w:val="00A8105E"/>
    <w:pPr>
      <w:tabs>
        <w:tab w:val="center" w:pos="4419"/>
        <w:tab w:val="right" w:pos="8838"/>
      </w:tabs>
    </w:pPr>
  </w:style>
  <w:style w:type="character" w:customStyle="1" w:styleId="PiedepginaCar">
    <w:name w:val="Pie de página Car"/>
    <w:link w:val="Piedepgina"/>
    <w:uiPriority w:val="99"/>
    <w:rsid w:val="00A8105E"/>
    <w:rPr>
      <w:sz w:val="24"/>
      <w:szCs w:val="24"/>
      <w:lang w:val="es-ES" w:eastAsia="es-ES"/>
    </w:rPr>
  </w:style>
  <w:style w:type="paragraph" w:styleId="Textodeglobo">
    <w:name w:val="Balloon Text"/>
    <w:basedOn w:val="Normal"/>
    <w:link w:val="TextodegloboCar"/>
    <w:rsid w:val="00386702"/>
    <w:rPr>
      <w:rFonts w:ascii="Tahoma" w:hAnsi="Tahoma" w:cs="Tahoma"/>
      <w:sz w:val="16"/>
      <w:szCs w:val="16"/>
    </w:rPr>
  </w:style>
  <w:style w:type="character" w:customStyle="1" w:styleId="TextodegloboCar">
    <w:name w:val="Texto de globo Car"/>
    <w:link w:val="Textodeglobo"/>
    <w:rsid w:val="00386702"/>
    <w:rPr>
      <w:rFonts w:ascii="Tahoma" w:hAnsi="Tahoma" w:cs="Tahoma"/>
      <w:sz w:val="16"/>
      <w:szCs w:val="16"/>
      <w:lang w:val="es-ES" w:eastAsia="es-ES"/>
    </w:rPr>
  </w:style>
  <w:style w:type="table" w:styleId="Cuadrculaclara-nfasis5">
    <w:name w:val="Light Grid Accent 5"/>
    <w:basedOn w:val="Tablanormal"/>
    <w:uiPriority w:val="62"/>
    <w:rsid w:val="00765F7B"/>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Hipervnculo">
    <w:name w:val="Hyperlink"/>
    <w:rsid w:val="0007676F"/>
    <w:rPr>
      <w:color w:val="0000FF"/>
      <w:u w:val="single"/>
    </w:rPr>
  </w:style>
  <w:style w:type="paragraph" w:customStyle="1" w:styleId="davidromas">
    <w:name w:val="david romas"/>
    <w:basedOn w:val="Normal"/>
    <w:rsid w:val="007A2D90"/>
    <w:pPr>
      <w:spacing w:after="101" w:line="216" w:lineRule="atLeast"/>
      <w:ind w:left="1620" w:hanging="1350"/>
      <w:jc w:val="both"/>
    </w:pPr>
    <w:rPr>
      <w:rFonts w:ascii="Arial" w:hAnsi="Arial"/>
      <w:sz w:val="18"/>
      <w:szCs w:val="20"/>
      <w:lang w:val="es-ES_tradnl"/>
    </w:rPr>
  </w:style>
  <w:style w:type="character" w:customStyle="1" w:styleId="apple-converted-space">
    <w:name w:val="apple-converted-space"/>
    <w:rsid w:val="002D544A"/>
  </w:style>
  <w:style w:type="paragraph" w:styleId="Textoindependiente">
    <w:name w:val="Body Text"/>
    <w:basedOn w:val="Normal"/>
    <w:link w:val="TextoindependienteCar"/>
    <w:unhideWhenUsed/>
    <w:rsid w:val="0090401A"/>
    <w:pPr>
      <w:spacing w:before="120" w:after="120"/>
      <w:jc w:val="both"/>
    </w:pPr>
    <w:rPr>
      <w:rFonts w:ascii="Helvetica-Normal" w:hAnsi="Helvetica-Normal"/>
      <w:sz w:val="18"/>
      <w:szCs w:val="18"/>
    </w:rPr>
  </w:style>
  <w:style w:type="character" w:customStyle="1" w:styleId="TextoindependienteCar">
    <w:name w:val="Texto independiente Car"/>
    <w:link w:val="Textoindependiente"/>
    <w:rsid w:val="0090401A"/>
    <w:rPr>
      <w:rFonts w:ascii="Helvetica-Normal" w:hAnsi="Helvetica-Normal"/>
      <w:sz w:val="18"/>
      <w:szCs w:val="18"/>
      <w:lang w:val="es-ES" w:eastAsia="es-ES"/>
    </w:rPr>
  </w:style>
  <w:style w:type="paragraph" w:styleId="Prrafodelista">
    <w:name w:val="List Paragraph"/>
    <w:basedOn w:val="Normal"/>
    <w:uiPriority w:val="34"/>
    <w:qFormat/>
    <w:rsid w:val="007E6358"/>
    <w:pPr>
      <w:spacing w:after="200" w:line="276" w:lineRule="auto"/>
      <w:ind w:left="720"/>
      <w:contextualSpacing/>
    </w:pPr>
    <w:rPr>
      <w:rFonts w:ascii="Calibri" w:eastAsia="Calibri" w:hAnsi="Calibri"/>
      <w:sz w:val="22"/>
      <w:szCs w:val="22"/>
      <w:lang w:val="es-MX" w:eastAsia="en-US"/>
    </w:rPr>
  </w:style>
  <w:style w:type="table" w:styleId="Tablaconcuadrcula">
    <w:name w:val="Table Grid"/>
    <w:basedOn w:val="Tablanormal"/>
    <w:uiPriority w:val="59"/>
    <w:rsid w:val="005A077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rsid w:val="0078355E"/>
    <w:rPr>
      <w:sz w:val="16"/>
      <w:szCs w:val="16"/>
    </w:rPr>
  </w:style>
  <w:style w:type="paragraph" w:styleId="Textocomentario">
    <w:name w:val="annotation text"/>
    <w:basedOn w:val="Normal"/>
    <w:link w:val="TextocomentarioCar"/>
    <w:rsid w:val="0078355E"/>
    <w:rPr>
      <w:sz w:val="20"/>
      <w:szCs w:val="20"/>
    </w:rPr>
  </w:style>
  <w:style w:type="character" w:customStyle="1" w:styleId="TextocomentarioCar">
    <w:name w:val="Texto comentario Car"/>
    <w:link w:val="Textocomentario"/>
    <w:rsid w:val="0078355E"/>
    <w:rPr>
      <w:lang w:val="es-ES" w:eastAsia="es-ES"/>
    </w:rPr>
  </w:style>
  <w:style w:type="paragraph" w:styleId="Asuntodelcomentario">
    <w:name w:val="annotation subject"/>
    <w:basedOn w:val="Textocomentario"/>
    <w:next w:val="Textocomentario"/>
    <w:link w:val="AsuntodelcomentarioCar"/>
    <w:rsid w:val="0078355E"/>
    <w:rPr>
      <w:b/>
      <w:bCs/>
    </w:rPr>
  </w:style>
  <w:style w:type="character" w:customStyle="1" w:styleId="AsuntodelcomentarioCar">
    <w:name w:val="Asunto del comentario Car"/>
    <w:link w:val="Asuntodelcomentario"/>
    <w:rsid w:val="0078355E"/>
    <w:rPr>
      <w:b/>
      <w:bCs/>
      <w:lang w:val="es-ES" w:eastAsia="es-ES"/>
    </w:rPr>
  </w:style>
  <w:style w:type="table" w:customStyle="1" w:styleId="Tablaconcuadrcula1">
    <w:name w:val="Tabla con cuadrícula1"/>
    <w:basedOn w:val="Tablanormal"/>
    <w:next w:val="Tablaconcuadrcula"/>
    <w:uiPriority w:val="59"/>
    <w:rsid w:val="00D975D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rsid w:val="00012FC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241348">
      <w:bodyDiv w:val="1"/>
      <w:marLeft w:val="0"/>
      <w:marRight w:val="0"/>
      <w:marTop w:val="0"/>
      <w:marBottom w:val="0"/>
      <w:divBdr>
        <w:top w:val="none" w:sz="0" w:space="0" w:color="auto"/>
        <w:left w:val="none" w:sz="0" w:space="0" w:color="auto"/>
        <w:bottom w:val="none" w:sz="0" w:space="0" w:color="auto"/>
        <w:right w:val="none" w:sz="0" w:space="0" w:color="auto"/>
      </w:divBdr>
    </w:div>
    <w:div w:id="106705082">
      <w:bodyDiv w:val="1"/>
      <w:marLeft w:val="0"/>
      <w:marRight w:val="0"/>
      <w:marTop w:val="0"/>
      <w:marBottom w:val="0"/>
      <w:divBdr>
        <w:top w:val="none" w:sz="0" w:space="0" w:color="auto"/>
        <w:left w:val="none" w:sz="0" w:space="0" w:color="auto"/>
        <w:bottom w:val="none" w:sz="0" w:space="0" w:color="auto"/>
        <w:right w:val="none" w:sz="0" w:space="0" w:color="auto"/>
      </w:divBdr>
    </w:div>
    <w:div w:id="146483274">
      <w:bodyDiv w:val="1"/>
      <w:marLeft w:val="0"/>
      <w:marRight w:val="0"/>
      <w:marTop w:val="0"/>
      <w:marBottom w:val="0"/>
      <w:divBdr>
        <w:top w:val="none" w:sz="0" w:space="0" w:color="auto"/>
        <w:left w:val="none" w:sz="0" w:space="0" w:color="auto"/>
        <w:bottom w:val="none" w:sz="0" w:space="0" w:color="auto"/>
        <w:right w:val="none" w:sz="0" w:space="0" w:color="auto"/>
      </w:divBdr>
      <w:divsChild>
        <w:div w:id="1145048035">
          <w:marLeft w:val="0"/>
          <w:marRight w:val="0"/>
          <w:marTop w:val="0"/>
          <w:marBottom w:val="0"/>
          <w:divBdr>
            <w:top w:val="none" w:sz="0" w:space="0" w:color="auto"/>
            <w:left w:val="none" w:sz="0" w:space="0" w:color="auto"/>
            <w:bottom w:val="none" w:sz="0" w:space="0" w:color="auto"/>
            <w:right w:val="none" w:sz="0" w:space="0" w:color="auto"/>
          </w:divBdr>
          <w:divsChild>
            <w:div w:id="1563784155">
              <w:marLeft w:val="0"/>
              <w:marRight w:val="0"/>
              <w:marTop w:val="0"/>
              <w:marBottom w:val="0"/>
              <w:divBdr>
                <w:top w:val="none" w:sz="0" w:space="0" w:color="auto"/>
                <w:left w:val="none" w:sz="0" w:space="0" w:color="auto"/>
                <w:bottom w:val="none" w:sz="0" w:space="0" w:color="auto"/>
                <w:right w:val="none" w:sz="0" w:space="0" w:color="auto"/>
              </w:divBdr>
              <w:divsChild>
                <w:div w:id="1521550198">
                  <w:marLeft w:val="0"/>
                  <w:marRight w:val="0"/>
                  <w:marTop w:val="0"/>
                  <w:marBottom w:val="0"/>
                  <w:divBdr>
                    <w:top w:val="none" w:sz="0" w:space="0" w:color="auto"/>
                    <w:left w:val="none" w:sz="0" w:space="0" w:color="auto"/>
                    <w:bottom w:val="none" w:sz="0" w:space="0" w:color="auto"/>
                    <w:right w:val="none" w:sz="0" w:space="0" w:color="auto"/>
                  </w:divBdr>
                  <w:divsChild>
                    <w:div w:id="242878160">
                      <w:marLeft w:val="0"/>
                      <w:marRight w:val="0"/>
                      <w:marTop w:val="0"/>
                      <w:marBottom w:val="0"/>
                      <w:divBdr>
                        <w:top w:val="none" w:sz="0" w:space="0" w:color="auto"/>
                        <w:left w:val="none" w:sz="0" w:space="0" w:color="auto"/>
                        <w:bottom w:val="none" w:sz="0" w:space="0" w:color="auto"/>
                        <w:right w:val="none" w:sz="0" w:space="0" w:color="auto"/>
                      </w:divBdr>
                      <w:divsChild>
                        <w:div w:id="1923299115">
                          <w:marLeft w:val="0"/>
                          <w:marRight w:val="0"/>
                          <w:marTop w:val="0"/>
                          <w:marBottom w:val="0"/>
                          <w:divBdr>
                            <w:top w:val="none" w:sz="0" w:space="0" w:color="auto"/>
                            <w:left w:val="none" w:sz="0" w:space="0" w:color="auto"/>
                            <w:bottom w:val="none" w:sz="0" w:space="0" w:color="auto"/>
                            <w:right w:val="none" w:sz="0" w:space="0" w:color="auto"/>
                          </w:divBdr>
                          <w:divsChild>
                            <w:div w:id="1501698276">
                              <w:marLeft w:val="0"/>
                              <w:marRight w:val="0"/>
                              <w:marTop w:val="0"/>
                              <w:marBottom w:val="0"/>
                              <w:divBdr>
                                <w:top w:val="none" w:sz="0" w:space="0" w:color="auto"/>
                                <w:left w:val="none" w:sz="0" w:space="0" w:color="auto"/>
                                <w:bottom w:val="none" w:sz="0" w:space="0" w:color="auto"/>
                                <w:right w:val="none" w:sz="0" w:space="0" w:color="auto"/>
                              </w:divBdr>
                              <w:divsChild>
                                <w:div w:id="783622505">
                                  <w:marLeft w:val="0"/>
                                  <w:marRight w:val="0"/>
                                  <w:marTop w:val="0"/>
                                  <w:marBottom w:val="0"/>
                                  <w:divBdr>
                                    <w:top w:val="none" w:sz="0" w:space="0" w:color="auto"/>
                                    <w:left w:val="none" w:sz="0" w:space="0" w:color="auto"/>
                                    <w:bottom w:val="none" w:sz="0" w:space="0" w:color="auto"/>
                                    <w:right w:val="none" w:sz="0" w:space="0" w:color="auto"/>
                                  </w:divBdr>
                                  <w:divsChild>
                                    <w:div w:id="1792237219">
                                      <w:marLeft w:val="0"/>
                                      <w:marRight w:val="0"/>
                                      <w:marTop w:val="0"/>
                                      <w:marBottom w:val="0"/>
                                      <w:divBdr>
                                        <w:top w:val="none" w:sz="0" w:space="0" w:color="auto"/>
                                        <w:left w:val="none" w:sz="0" w:space="0" w:color="auto"/>
                                        <w:bottom w:val="none" w:sz="0" w:space="0" w:color="auto"/>
                                        <w:right w:val="none" w:sz="0" w:space="0" w:color="auto"/>
                                      </w:divBdr>
                                      <w:divsChild>
                                        <w:div w:id="1434860140">
                                          <w:marLeft w:val="0"/>
                                          <w:marRight w:val="0"/>
                                          <w:marTop w:val="0"/>
                                          <w:marBottom w:val="0"/>
                                          <w:divBdr>
                                            <w:top w:val="none" w:sz="0" w:space="0" w:color="auto"/>
                                            <w:left w:val="none" w:sz="0" w:space="0" w:color="auto"/>
                                            <w:bottom w:val="none" w:sz="0" w:space="0" w:color="auto"/>
                                            <w:right w:val="none" w:sz="0" w:space="0" w:color="auto"/>
                                          </w:divBdr>
                                          <w:divsChild>
                                            <w:div w:id="1478912937">
                                              <w:marLeft w:val="0"/>
                                              <w:marRight w:val="0"/>
                                              <w:marTop w:val="0"/>
                                              <w:marBottom w:val="0"/>
                                              <w:divBdr>
                                                <w:top w:val="none" w:sz="0" w:space="0" w:color="auto"/>
                                                <w:left w:val="none" w:sz="0" w:space="0" w:color="auto"/>
                                                <w:bottom w:val="none" w:sz="0" w:space="0" w:color="auto"/>
                                                <w:right w:val="none" w:sz="0" w:space="0" w:color="auto"/>
                                              </w:divBdr>
                                              <w:divsChild>
                                                <w:div w:id="2073236237">
                                                  <w:marLeft w:val="0"/>
                                                  <w:marRight w:val="90"/>
                                                  <w:marTop w:val="0"/>
                                                  <w:marBottom w:val="0"/>
                                                  <w:divBdr>
                                                    <w:top w:val="none" w:sz="0" w:space="0" w:color="auto"/>
                                                    <w:left w:val="none" w:sz="0" w:space="0" w:color="auto"/>
                                                    <w:bottom w:val="none" w:sz="0" w:space="0" w:color="auto"/>
                                                    <w:right w:val="none" w:sz="0" w:space="0" w:color="auto"/>
                                                  </w:divBdr>
                                                  <w:divsChild>
                                                    <w:div w:id="1678002104">
                                                      <w:marLeft w:val="0"/>
                                                      <w:marRight w:val="0"/>
                                                      <w:marTop w:val="0"/>
                                                      <w:marBottom w:val="0"/>
                                                      <w:divBdr>
                                                        <w:top w:val="none" w:sz="0" w:space="0" w:color="auto"/>
                                                        <w:left w:val="none" w:sz="0" w:space="0" w:color="auto"/>
                                                        <w:bottom w:val="none" w:sz="0" w:space="0" w:color="auto"/>
                                                        <w:right w:val="none" w:sz="0" w:space="0" w:color="auto"/>
                                                      </w:divBdr>
                                                      <w:divsChild>
                                                        <w:div w:id="1415273431">
                                                          <w:marLeft w:val="0"/>
                                                          <w:marRight w:val="0"/>
                                                          <w:marTop w:val="0"/>
                                                          <w:marBottom w:val="0"/>
                                                          <w:divBdr>
                                                            <w:top w:val="none" w:sz="0" w:space="0" w:color="auto"/>
                                                            <w:left w:val="none" w:sz="0" w:space="0" w:color="auto"/>
                                                            <w:bottom w:val="none" w:sz="0" w:space="0" w:color="auto"/>
                                                            <w:right w:val="none" w:sz="0" w:space="0" w:color="auto"/>
                                                          </w:divBdr>
                                                          <w:divsChild>
                                                            <w:div w:id="1748109835">
                                                              <w:marLeft w:val="0"/>
                                                              <w:marRight w:val="0"/>
                                                              <w:marTop w:val="0"/>
                                                              <w:marBottom w:val="0"/>
                                                              <w:divBdr>
                                                                <w:top w:val="none" w:sz="0" w:space="0" w:color="auto"/>
                                                                <w:left w:val="none" w:sz="0" w:space="0" w:color="auto"/>
                                                                <w:bottom w:val="none" w:sz="0" w:space="0" w:color="auto"/>
                                                                <w:right w:val="none" w:sz="0" w:space="0" w:color="auto"/>
                                                              </w:divBdr>
                                                              <w:divsChild>
                                                                <w:div w:id="577179151">
                                                                  <w:marLeft w:val="0"/>
                                                                  <w:marRight w:val="0"/>
                                                                  <w:marTop w:val="0"/>
                                                                  <w:marBottom w:val="0"/>
                                                                  <w:divBdr>
                                                                    <w:top w:val="none" w:sz="0" w:space="0" w:color="auto"/>
                                                                    <w:left w:val="none" w:sz="0" w:space="0" w:color="auto"/>
                                                                    <w:bottom w:val="none" w:sz="0" w:space="0" w:color="auto"/>
                                                                    <w:right w:val="none" w:sz="0" w:space="0" w:color="auto"/>
                                                                  </w:divBdr>
                                                                  <w:divsChild>
                                                                    <w:div w:id="1657175853">
                                                                      <w:marLeft w:val="0"/>
                                                                      <w:marRight w:val="0"/>
                                                                      <w:marTop w:val="0"/>
                                                                      <w:marBottom w:val="0"/>
                                                                      <w:divBdr>
                                                                        <w:top w:val="none" w:sz="0" w:space="0" w:color="auto"/>
                                                                        <w:left w:val="none" w:sz="0" w:space="0" w:color="auto"/>
                                                                        <w:bottom w:val="none" w:sz="0" w:space="0" w:color="auto"/>
                                                                        <w:right w:val="none" w:sz="0" w:space="0" w:color="auto"/>
                                                                      </w:divBdr>
                                                                      <w:divsChild>
                                                                        <w:div w:id="44525401">
                                                                          <w:marLeft w:val="0"/>
                                                                          <w:marRight w:val="0"/>
                                                                          <w:marTop w:val="0"/>
                                                                          <w:marBottom w:val="0"/>
                                                                          <w:divBdr>
                                                                            <w:top w:val="none" w:sz="0" w:space="0" w:color="auto"/>
                                                                            <w:left w:val="none" w:sz="0" w:space="0" w:color="auto"/>
                                                                            <w:bottom w:val="none" w:sz="0" w:space="0" w:color="auto"/>
                                                                            <w:right w:val="none" w:sz="0" w:space="0" w:color="auto"/>
                                                                          </w:divBdr>
                                                                          <w:divsChild>
                                                                            <w:div w:id="918904685">
                                                                              <w:marLeft w:val="0"/>
                                                                              <w:marRight w:val="0"/>
                                                                              <w:marTop w:val="0"/>
                                                                              <w:marBottom w:val="0"/>
                                                                              <w:divBdr>
                                                                                <w:top w:val="none" w:sz="0" w:space="0" w:color="auto"/>
                                                                                <w:left w:val="none" w:sz="0" w:space="0" w:color="auto"/>
                                                                                <w:bottom w:val="none" w:sz="0" w:space="0" w:color="auto"/>
                                                                                <w:right w:val="none" w:sz="0" w:space="0" w:color="auto"/>
                                                                              </w:divBdr>
                                                                              <w:divsChild>
                                                                                <w:div w:id="1608928553">
                                                                                  <w:marLeft w:val="180"/>
                                                                                  <w:marRight w:val="180"/>
                                                                                  <w:marTop w:val="0"/>
                                                                                  <w:marBottom w:val="0"/>
                                                                                  <w:divBdr>
                                                                                    <w:top w:val="none" w:sz="0" w:space="0" w:color="auto"/>
                                                                                    <w:left w:val="none" w:sz="0" w:space="0" w:color="auto"/>
                                                                                    <w:bottom w:val="none" w:sz="0" w:space="0" w:color="auto"/>
                                                                                    <w:right w:val="none" w:sz="0" w:space="0" w:color="auto"/>
                                                                                  </w:divBdr>
                                                                                  <w:divsChild>
                                                                                    <w:div w:id="1312756082">
                                                                                      <w:marLeft w:val="0"/>
                                                                                      <w:marRight w:val="0"/>
                                                                                      <w:marTop w:val="0"/>
                                                                                      <w:marBottom w:val="0"/>
                                                                                      <w:divBdr>
                                                                                        <w:top w:val="none" w:sz="0" w:space="0" w:color="auto"/>
                                                                                        <w:left w:val="none" w:sz="0" w:space="0" w:color="auto"/>
                                                                                        <w:bottom w:val="none" w:sz="0" w:space="0" w:color="auto"/>
                                                                                        <w:right w:val="none" w:sz="0" w:space="0" w:color="auto"/>
                                                                                      </w:divBdr>
                                                                                      <w:divsChild>
                                                                                        <w:div w:id="51029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6423683">
      <w:bodyDiv w:val="1"/>
      <w:marLeft w:val="0"/>
      <w:marRight w:val="0"/>
      <w:marTop w:val="0"/>
      <w:marBottom w:val="0"/>
      <w:divBdr>
        <w:top w:val="none" w:sz="0" w:space="0" w:color="auto"/>
        <w:left w:val="none" w:sz="0" w:space="0" w:color="auto"/>
        <w:bottom w:val="none" w:sz="0" w:space="0" w:color="auto"/>
        <w:right w:val="none" w:sz="0" w:space="0" w:color="auto"/>
      </w:divBdr>
    </w:div>
    <w:div w:id="294335144">
      <w:bodyDiv w:val="1"/>
      <w:marLeft w:val="0"/>
      <w:marRight w:val="0"/>
      <w:marTop w:val="0"/>
      <w:marBottom w:val="0"/>
      <w:divBdr>
        <w:top w:val="none" w:sz="0" w:space="0" w:color="auto"/>
        <w:left w:val="none" w:sz="0" w:space="0" w:color="auto"/>
        <w:bottom w:val="none" w:sz="0" w:space="0" w:color="auto"/>
        <w:right w:val="none" w:sz="0" w:space="0" w:color="auto"/>
      </w:divBdr>
    </w:div>
    <w:div w:id="359356436">
      <w:bodyDiv w:val="1"/>
      <w:marLeft w:val="0"/>
      <w:marRight w:val="0"/>
      <w:marTop w:val="0"/>
      <w:marBottom w:val="0"/>
      <w:divBdr>
        <w:top w:val="none" w:sz="0" w:space="0" w:color="auto"/>
        <w:left w:val="none" w:sz="0" w:space="0" w:color="auto"/>
        <w:bottom w:val="none" w:sz="0" w:space="0" w:color="auto"/>
        <w:right w:val="none" w:sz="0" w:space="0" w:color="auto"/>
      </w:divBdr>
    </w:div>
    <w:div w:id="406999776">
      <w:bodyDiv w:val="1"/>
      <w:marLeft w:val="0"/>
      <w:marRight w:val="0"/>
      <w:marTop w:val="0"/>
      <w:marBottom w:val="0"/>
      <w:divBdr>
        <w:top w:val="none" w:sz="0" w:space="0" w:color="auto"/>
        <w:left w:val="none" w:sz="0" w:space="0" w:color="auto"/>
        <w:bottom w:val="none" w:sz="0" w:space="0" w:color="auto"/>
        <w:right w:val="none" w:sz="0" w:space="0" w:color="auto"/>
      </w:divBdr>
    </w:div>
    <w:div w:id="478885702">
      <w:bodyDiv w:val="1"/>
      <w:marLeft w:val="0"/>
      <w:marRight w:val="0"/>
      <w:marTop w:val="0"/>
      <w:marBottom w:val="0"/>
      <w:divBdr>
        <w:top w:val="none" w:sz="0" w:space="0" w:color="auto"/>
        <w:left w:val="none" w:sz="0" w:space="0" w:color="auto"/>
        <w:bottom w:val="none" w:sz="0" w:space="0" w:color="auto"/>
        <w:right w:val="none" w:sz="0" w:space="0" w:color="auto"/>
      </w:divBdr>
    </w:div>
    <w:div w:id="526912507">
      <w:bodyDiv w:val="1"/>
      <w:marLeft w:val="0"/>
      <w:marRight w:val="0"/>
      <w:marTop w:val="0"/>
      <w:marBottom w:val="0"/>
      <w:divBdr>
        <w:top w:val="none" w:sz="0" w:space="0" w:color="auto"/>
        <w:left w:val="none" w:sz="0" w:space="0" w:color="auto"/>
        <w:bottom w:val="none" w:sz="0" w:space="0" w:color="auto"/>
        <w:right w:val="none" w:sz="0" w:space="0" w:color="auto"/>
      </w:divBdr>
    </w:div>
    <w:div w:id="684407696">
      <w:bodyDiv w:val="1"/>
      <w:marLeft w:val="0"/>
      <w:marRight w:val="0"/>
      <w:marTop w:val="0"/>
      <w:marBottom w:val="0"/>
      <w:divBdr>
        <w:top w:val="none" w:sz="0" w:space="0" w:color="auto"/>
        <w:left w:val="none" w:sz="0" w:space="0" w:color="auto"/>
        <w:bottom w:val="none" w:sz="0" w:space="0" w:color="auto"/>
        <w:right w:val="none" w:sz="0" w:space="0" w:color="auto"/>
      </w:divBdr>
    </w:div>
    <w:div w:id="698315407">
      <w:bodyDiv w:val="1"/>
      <w:marLeft w:val="0"/>
      <w:marRight w:val="0"/>
      <w:marTop w:val="0"/>
      <w:marBottom w:val="0"/>
      <w:divBdr>
        <w:top w:val="none" w:sz="0" w:space="0" w:color="auto"/>
        <w:left w:val="none" w:sz="0" w:space="0" w:color="auto"/>
        <w:bottom w:val="none" w:sz="0" w:space="0" w:color="auto"/>
        <w:right w:val="none" w:sz="0" w:space="0" w:color="auto"/>
      </w:divBdr>
    </w:div>
    <w:div w:id="700208755">
      <w:bodyDiv w:val="1"/>
      <w:marLeft w:val="0"/>
      <w:marRight w:val="0"/>
      <w:marTop w:val="0"/>
      <w:marBottom w:val="0"/>
      <w:divBdr>
        <w:top w:val="none" w:sz="0" w:space="0" w:color="auto"/>
        <w:left w:val="none" w:sz="0" w:space="0" w:color="auto"/>
        <w:bottom w:val="none" w:sz="0" w:space="0" w:color="auto"/>
        <w:right w:val="none" w:sz="0" w:space="0" w:color="auto"/>
      </w:divBdr>
    </w:div>
    <w:div w:id="739598713">
      <w:bodyDiv w:val="1"/>
      <w:marLeft w:val="0"/>
      <w:marRight w:val="0"/>
      <w:marTop w:val="0"/>
      <w:marBottom w:val="0"/>
      <w:divBdr>
        <w:top w:val="none" w:sz="0" w:space="0" w:color="auto"/>
        <w:left w:val="none" w:sz="0" w:space="0" w:color="auto"/>
        <w:bottom w:val="none" w:sz="0" w:space="0" w:color="auto"/>
        <w:right w:val="none" w:sz="0" w:space="0" w:color="auto"/>
      </w:divBdr>
    </w:div>
    <w:div w:id="746725718">
      <w:bodyDiv w:val="1"/>
      <w:marLeft w:val="0"/>
      <w:marRight w:val="0"/>
      <w:marTop w:val="0"/>
      <w:marBottom w:val="0"/>
      <w:divBdr>
        <w:top w:val="none" w:sz="0" w:space="0" w:color="auto"/>
        <w:left w:val="none" w:sz="0" w:space="0" w:color="auto"/>
        <w:bottom w:val="none" w:sz="0" w:space="0" w:color="auto"/>
        <w:right w:val="none" w:sz="0" w:space="0" w:color="auto"/>
      </w:divBdr>
    </w:div>
    <w:div w:id="798568464">
      <w:bodyDiv w:val="1"/>
      <w:marLeft w:val="0"/>
      <w:marRight w:val="0"/>
      <w:marTop w:val="0"/>
      <w:marBottom w:val="0"/>
      <w:divBdr>
        <w:top w:val="none" w:sz="0" w:space="0" w:color="auto"/>
        <w:left w:val="none" w:sz="0" w:space="0" w:color="auto"/>
        <w:bottom w:val="none" w:sz="0" w:space="0" w:color="auto"/>
        <w:right w:val="none" w:sz="0" w:space="0" w:color="auto"/>
      </w:divBdr>
    </w:div>
    <w:div w:id="810486354">
      <w:bodyDiv w:val="1"/>
      <w:marLeft w:val="0"/>
      <w:marRight w:val="0"/>
      <w:marTop w:val="0"/>
      <w:marBottom w:val="0"/>
      <w:divBdr>
        <w:top w:val="none" w:sz="0" w:space="0" w:color="auto"/>
        <w:left w:val="none" w:sz="0" w:space="0" w:color="auto"/>
        <w:bottom w:val="none" w:sz="0" w:space="0" w:color="auto"/>
        <w:right w:val="none" w:sz="0" w:space="0" w:color="auto"/>
      </w:divBdr>
    </w:div>
    <w:div w:id="853803114">
      <w:bodyDiv w:val="1"/>
      <w:marLeft w:val="0"/>
      <w:marRight w:val="0"/>
      <w:marTop w:val="0"/>
      <w:marBottom w:val="0"/>
      <w:divBdr>
        <w:top w:val="none" w:sz="0" w:space="0" w:color="auto"/>
        <w:left w:val="none" w:sz="0" w:space="0" w:color="auto"/>
        <w:bottom w:val="none" w:sz="0" w:space="0" w:color="auto"/>
        <w:right w:val="none" w:sz="0" w:space="0" w:color="auto"/>
      </w:divBdr>
    </w:div>
    <w:div w:id="1068962540">
      <w:bodyDiv w:val="1"/>
      <w:marLeft w:val="0"/>
      <w:marRight w:val="0"/>
      <w:marTop w:val="0"/>
      <w:marBottom w:val="0"/>
      <w:divBdr>
        <w:top w:val="none" w:sz="0" w:space="0" w:color="auto"/>
        <w:left w:val="none" w:sz="0" w:space="0" w:color="auto"/>
        <w:bottom w:val="none" w:sz="0" w:space="0" w:color="auto"/>
        <w:right w:val="none" w:sz="0" w:space="0" w:color="auto"/>
      </w:divBdr>
    </w:div>
    <w:div w:id="1192112413">
      <w:bodyDiv w:val="1"/>
      <w:marLeft w:val="0"/>
      <w:marRight w:val="0"/>
      <w:marTop w:val="0"/>
      <w:marBottom w:val="0"/>
      <w:divBdr>
        <w:top w:val="none" w:sz="0" w:space="0" w:color="auto"/>
        <w:left w:val="none" w:sz="0" w:space="0" w:color="auto"/>
        <w:bottom w:val="none" w:sz="0" w:space="0" w:color="auto"/>
        <w:right w:val="none" w:sz="0" w:space="0" w:color="auto"/>
      </w:divBdr>
    </w:div>
    <w:div w:id="1400710390">
      <w:bodyDiv w:val="1"/>
      <w:marLeft w:val="0"/>
      <w:marRight w:val="0"/>
      <w:marTop w:val="0"/>
      <w:marBottom w:val="0"/>
      <w:divBdr>
        <w:top w:val="none" w:sz="0" w:space="0" w:color="auto"/>
        <w:left w:val="none" w:sz="0" w:space="0" w:color="auto"/>
        <w:bottom w:val="none" w:sz="0" w:space="0" w:color="auto"/>
        <w:right w:val="none" w:sz="0" w:space="0" w:color="auto"/>
      </w:divBdr>
    </w:div>
    <w:div w:id="1546018021">
      <w:bodyDiv w:val="1"/>
      <w:marLeft w:val="0"/>
      <w:marRight w:val="0"/>
      <w:marTop w:val="0"/>
      <w:marBottom w:val="0"/>
      <w:divBdr>
        <w:top w:val="none" w:sz="0" w:space="0" w:color="auto"/>
        <w:left w:val="none" w:sz="0" w:space="0" w:color="auto"/>
        <w:bottom w:val="none" w:sz="0" w:space="0" w:color="auto"/>
        <w:right w:val="none" w:sz="0" w:space="0" w:color="auto"/>
      </w:divBdr>
    </w:div>
    <w:div w:id="1611282647">
      <w:bodyDiv w:val="1"/>
      <w:marLeft w:val="0"/>
      <w:marRight w:val="0"/>
      <w:marTop w:val="0"/>
      <w:marBottom w:val="0"/>
      <w:divBdr>
        <w:top w:val="none" w:sz="0" w:space="0" w:color="auto"/>
        <w:left w:val="none" w:sz="0" w:space="0" w:color="auto"/>
        <w:bottom w:val="none" w:sz="0" w:space="0" w:color="auto"/>
        <w:right w:val="none" w:sz="0" w:space="0" w:color="auto"/>
      </w:divBdr>
    </w:div>
    <w:div w:id="1750073507">
      <w:bodyDiv w:val="1"/>
      <w:marLeft w:val="0"/>
      <w:marRight w:val="0"/>
      <w:marTop w:val="0"/>
      <w:marBottom w:val="0"/>
      <w:divBdr>
        <w:top w:val="none" w:sz="0" w:space="0" w:color="auto"/>
        <w:left w:val="none" w:sz="0" w:space="0" w:color="auto"/>
        <w:bottom w:val="none" w:sz="0" w:space="0" w:color="auto"/>
        <w:right w:val="none" w:sz="0" w:space="0" w:color="auto"/>
      </w:divBdr>
    </w:div>
    <w:div w:id="1831487000">
      <w:bodyDiv w:val="1"/>
      <w:marLeft w:val="0"/>
      <w:marRight w:val="0"/>
      <w:marTop w:val="0"/>
      <w:marBottom w:val="0"/>
      <w:divBdr>
        <w:top w:val="none" w:sz="0" w:space="0" w:color="auto"/>
        <w:left w:val="none" w:sz="0" w:space="0" w:color="auto"/>
        <w:bottom w:val="none" w:sz="0" w:space="0" w:color="auto"/>
        <w:right w:val="none" w:sz="0" w:space="0" w:color="auto"/>
      </w:divBdr>
    </w:div>
    <w:div w:id="1834877639">
      <w:bodyDiv w:val="1"/>
      <w:marLeft w:val="0"/>
      <w:marRight w:val="0"/>
      <w:marTop w:val="0"/>
      <w:marBottom w:val="0"/>
      <w:divBdr>
        <w:top w:val="none" w:sz="0" w:space="0" w:color="auto"/>
        <w:left w:val="none" w:sz="0" w:space="0" w:color="auto"/>
        <w:bottom w:val="none" w:sz="0" w:space="0" w:color="auto"/>
        <w:right w:val="none" w:sz="0" w:space="0" w:color="auto"/>
      </w:divBdr>
    </w:div>
    <w:div w:id="1881824785">
      <w:bodyDiv w:val="1"/>
      <w:marLeft w:val="0"/>
      <w:marRight w:val="0"/>
      <w:marTop w:val="0"/>
      <w:marBottom w:val="0"/>
      <w:divBdr>
        <w:top w:val="none" w:sz="0" w:space="0" w:color="auto"/>
        <w:left w:val="none" w:sz="0" w:space="0" w:color="auto"/>
        <w:bottom w:val="none" w:sz="0" w:space="0" w:color="auto"/>
        <w:right w:val="none" w:sz="0" w:space="0" w:color="auto"/>
      </w:divBdr>
    </w:div>
    <w:div w:id="1939678638">
      <w:bodyDiv w:val="1"/>
      <w:marLeft w:val="0"/>
      <w:marRight w:val="0"/>
      <w:marTop w:val="0"/>
      <w:marBottom w:val="0"/>
      <w:divBdr>
        <w:top w:val="none" w:sz="0" w:space="0" w:color="auto"/>
        <w:left w:val="none" w:sz="0" w:space="0" w:color="auto"/>
        <w:bottom w:val="none" w:sz="0" w:space="0" w:color="auto"/>
        <w:right w:val="none" w:sz="0" w:space="0" w:color="auto"/>
      </w:divBdr>
    </w:div>
    <w:div w:id="1943490034">
      <w:bodyDiv w:val="1"/>
      <w:marLeft w:val="0"/>
      <w:marRight w:val="0"/>
      <w:marTop w:val="0"/>
      <w:marBottom w:val="0"/>
      <w:divBdr>
        <w:top w:val="none" w:sz="0" w:space="0" w:color="auto"/>
        <w:left w:val="none" w:sz="0" w:space="0" w:color="auto"/>
        <w:bottom w:val="none" w:sz="0" w:space="0" w:color="auto"/>
        <w:right w:val="none" w:sz="0" w:space="0" w:color="auto"/>
      </w:divBdr>
    </w:div>
    <w:div w:id="2026980561">
      <w:bodyDiv w:val="1"/>
      <w:marLeft w:val="0"/>
      <w:marRight w:val="0"/>
      <w:marTop w:val="0"/>
      <w:marBottom w:val="0"/>
      <w:divBdr>
        <w:top w:val="none" w:sz="0" w:space="0" w:color="auto"/>
        <w:left w:val="none" w:sz="0" w:space="0" w:color="auto"/>
        <w:bottom w:val="none" w:sz="0" w:space="0" w:color="auto"/>
        <w:right w:val="none" w:sz="0" w:space="0" w:color="auto"/>
      </w:divBdr>
    </w:div>
    <w:div w:id="2131046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5D66B7-8B95-4BBF-A60F-06A2CA4BF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1855</Words>
  <Characters>10208</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TEMAS A TRATAR CON LA CONAGUA</vt:lpstr>
    </vt:vector>
  </TitlesOfParts>
  <Company>Hewlett-Packard</Company>
  <LinksUpToDate>false</LinksUpToDate>
  <CharactersWithSpaces>12039</CharactersWithSpaces>
  <SharedDoc>false</SharedDoc>
  <HLinks>
    <vt:vector size="30" baseType="variant">
      <vt:variant>
        <vt:i4>8323113</vt:i4>
      </vt:variant>
      <vt:variant>
        <vt:i4>12</vt:i4>
      </vt:variant>
      <vt:variant>
        <vt:i4>0</vt:i4>
      </vt:variant>
      <vt:variant>
        <vt:i4>5</vt:i4>
      </vt:variant>
      <vt:variant>
        <vt:lpwstr>http://www.anr.gob.mx/</vt:lpwstr>
      </vt:variant>
      <vt:variant>
        <vt:lpwstr/>
      </vt:variant>
      <vt:variant>
        <vt:i4>5767241</vt:i4>
      </vt:variant>
      <vt:variant>
        <vt:i4>9</vt:i4>
      </vt:variant>
      <vt:variant>
        <vt:i4>0</vt:i4>
      </vt:variant>
      <vt:variant>
        <vt:i4>5</vt:i4>
      </vt:variant>
      <vt:variant>
        <vt:lpwstr>http://www.atlasnacionalderiesgos.gob.mx/</vt:lpwstr>
      </vt:variant>
      <vt:variant>
        <vt:lpwstr/>
      </vt:variant>
      <vt:variant>
        <vt:i4>8323113</vt:i4>
      </vt:variant>
      <vt:variant>
        <vt:i4>6</vt:i4>
      </vt:variant>
      <vt:variant>
        <vt:i4>0</vt:i4>
      </vt:variant>
      <vt:variant>
        <vt:i4>5</vt:i4>
      </vt:variant>
      <vt:variant>
        <vt:lpwstr>http://www.anr.gob.mx/</vt:lpwstr>
      </vt:variant>
      <vt:variant>
        <vt:lpwstr/>
      </vt:variant>
      <vt:variant>
        <vt:i4>5767241</vt:i4>
      </vt:variant>
      <vt:variant>
        <vt:i4>3</vt:i4>
      </vt:variant>
      <vt:variant>
        <vt:i4>0</vt:i4>
      </vt:variant>
      <vt:variant>
        <vt:i4>5</vt:i4>
      </vt:variant>
      <vt:variant>
        <vt:lpwstr>http://www.atlasnacionalderiesgos.gob.mx/</vt:lpwstr>
      </vt:variant>
      <vt:variant>
        <vt:lpwstr/>
      </vt:variant>
      <vt:variant>
        <vt:i4>5767241</vt:i4>
      </vt:variant>
      <vt:variant>
        <vt:i4>0</vt:i4>
      </vt:variant>
      <vt:variant>
        <vt:i4>0</vt:i4>
      </vt:variant>
      <vt:variant>
        <vt:i4>5</vt:i4>
      </vt:variant>
      <vt:variant>
        <vt:lpwstr>http://www.atlasnacionalderiesgos.gob.mx/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TEMAS A TRATAR CON LA CONAGUA</dc:title>
  <dc:creator>Anne</dc:creator>
  <cp:lastModifiedBy>Temporal</cp:lastModifiedBy>
  <cp:revision>7</cp:revision>
  <cp:lastPrinted>2017-08-18T22:38:00Z</cp:lastPrinted>
  <dcterms:created xsi:type="dcterms:W3CDTF">2018-02-23T22:16:00Z</dcterms:created>
  <dcterms:modified xsi:type="dcterms:W3CDTF">2018-03-21T14:46:00Z</dcterms:modified>
</cp:coreProperties>
</file>