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4317" w:type="dxa"/>
        <w:tblInd w:w="-856" w:type="dxa"/>
        <w:tblLayout w:type="fixed"/>
        <w:tblLook w:val="04A0" w:firstRow="1" w:lastRow="0" w:firstColumn="1" w:lastColumn="0" w:noHBand="0" w:noVBand="1"/>
      </w:tblPr>
      <w:tblGrid>
        <w:gridCol w:w="1418"/>
        <w:gridCol w:w="993"/>
        <w:gridCol w:w="1559"/>
        <w:gridCol w:w="1984"/>
        <w:gridCol w:w="5245"/>
        <w:gridCol w:w="1559"/>
        <w:gridCol w:w="1559"/>
      </w:tblGrid>
      <w:tr w:rsidR="004C1B50" w:rsidRPr="004C1B50" w:rsidTr="004C1B50">
        <w:tc>
          <w:tcPr>
            <w:tcW w:w="1418"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FRACCIÓN</w:t>
            </w:r>
          </w:p>
        </w:tc>
        <w:tc>
          <w:tcPr>
            <w:tcW w:w="993"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 xml:space="preserve">AÑOS </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DIRECCIÓN QUE LA CARGA</w:t>
            </w:r>
          </w:p>
        </w:tc>
        <w:tc>
          <w:tcPr>
            <w:tcW w:w="1984"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CRITERIO</w:t>
            </w:r>
          </w:p>
        </w:tc>
        <w:tc>
          <w:tcPr>
            <w:tcW w:w="5245"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OBSERVACIONES, RECOMENDACIONES Y/O REQUERIMIENTOS</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ACCIONES REALIZADAS</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RESPONSABLE/SUPERIOR JERARQUICO</w:t>
            </w: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 Marco normativo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 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algunos documentos a los que redirigen los vínculos URL contienen información no reutilizable, por ejemplo: http://www1.cenapred.unam.mx/DIR_SERVICIOS_TECNICOS/SJ/MANUAL_SEGURIDAD_LABORATORIO_MUESTRAS_AMBIENTALES_CENAPRED.pdf.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II. Estructura orgánica</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IV. Metas y objetivos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center"/>
              <w:rPr>
                <w:rFonts w:ascii="Adobe Caslon Pro" w:hAnsi="Adobe Caslon Pro"/>
                <w:sz w:val="16"/>
                <w:szCs w:val="16"/>
              </w:rPr>
            </w:pPr>
            <w:r w:rsidRPr="004C1B50">
              <w:rPr>
                <w:rFonts w:ascii="Adobe Caslon Pro" w:hAnsi="Adobe Caslon Pro"/>
                <w:sz w:val="16"/>
                <w:szCs w:val="16"/>
              </w:rPr>
              <w:t>DST- 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 Indicadores de interés público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Fecha de actualización  de  la información publicada con el formato  día/mes/año  (por  ej.</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fechas de actualización posteriores a la fecha de validación y los Lineamientos Técnicos Generales indican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manea</w:t>
            </w:r>
            <w:proofErr w:type="spellEnd"/>
            <w:r w:rsidRPr="004C1B50">
              <w:rPr>
                <w:rFonts w:ascii="Adobe Caslon Pro" w:hAnsi="Adobe Caslon Pro"/>
                <w:sz w:val="16"/>
                <w:szCs w:val="16"/>
              </w:rPr>
              <w:t xml:space="preserve">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VI. Indicadores de resultados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Nombre   del(os)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indicador(es)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cuya ausencia de información no se encuentra justificada en el campo "Notas".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actualizar la información faltante</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Fecha de actualización  de  la información publicada con el formato  día/mes/año  (por  ej.</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fechas de actualización posteriores a la fecha de validación y los Lineamientos Técnicos Generales indican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manea</w:t>
            </w:r>
            <w:proofErr w:type="spellEnd"/>
            <w:r w:rsidRPr="004C1B50">
              <w:rPr>
                <w:rFonts w:ascii="Adobe Caslon Pro" w:hAnsi="Adobe Caslon Pro"/>
                <w:sz w:val="16"/>
                <w:szCs w:val="16"/>
              </w:rPr>
              <w:t xml:space="preserve">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VII. Directorio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7. Fecha de alta en el cargo con el formato </w:t>
            </w:r>
            <w:r w:rsidRPr="004C1B50">
              <w:rPr>
                <w:rFonts w:ascii="Adobe Caslon Pro" w:hAnsi="Adobe Caslon Pro"/>
                <w:sz w:val="16"/>
                <w:szCs w:val="16"/>
              </w:rPr>
              <w:lastRenderedPageBreak/>
              <w:t>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sin que la ausencia de información esté justificada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w:t>
            </w:r>
            <w:r w:rsidRPr="004C1B50">
              <w:rPr>
                <w:rFonts w:ascii="Adobe Caslon Pro" w:hAnsi="Adobe Caslon Pro"/>
                <w:sz w:val="16"/>
                <w:szCs w:val="16"/>
              </w:rPr>
              <w:lastRenderedPageBreak/>
              <w:t>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VIII. Remuneración de servidores públicos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33. Monto neto de las gratificaciones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la ausencia de información sea justificada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IX. Gastos de representación y viáticos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50. Hipervínculo al informe del acto de representación encomendado, donde se señalen las actividades realizadas, los resultados obtenidos, las contribuciones a la institución y las conclusiones; en su caso, se deberá incluir una leyenda explicando lo que corresponda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algunos de los hipervínculos están rotos o no redirigen a la información solicitada, por ejemplo: http://www1.cenapred.unam.mx/COORDINACION_ADMINISTRATIVA/RF/FRACC_IX/A/2017/2017I/2017F_146.pdf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manera adecuada según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60.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que redirigen los hipervínculos del criterio 52 no es reutilizable.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detectó que la información de los documentos a los que redirigen los hipervínculos en el criterio 25 no puede ser reutilizable. Por lo tanto, deberá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XVI. Relaciones laborales y recursos públicos a sindicatos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Fecha de entrega de los recursos públicos, con el formato día/mes/año (por ejemplo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14. Tipo de recursos públicos: efectivo / </w:t>
            </w:r>
            <w:r w:rsidRPr="004C1B50">
              <w:rPr>
                <w:rFonts w:ascii="Adobe Caslon Pro" w:hAnsi="Adobe Caslon Pro"/>
                <w:sz w:val="16"/>
                <w:szCs w:val="16"/>
              </w:rPr>
              <w:lastRenderedPageBreak/>
              <w:t>en especie (materiales) /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w:t>
            </w:r>
            <w:r w:rsidRPr="004C1B50">
              <w:rPr>
                <w:rFonts w:ascii="Adobe Caslon Pro" w:hAnsi="Adobe Caslon Pro"/>
                <w:sz w:val="16"/>
                <w:szCs w:val="16"/>
              </w:rPr>
              <w:lastRenderedPageBreak/>
              <w:t>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Descripción breve de los recursos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Denominación del(os) sindicato(s) al(os) cual(es) se les entregó el recurso público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Hipervínculo al acta constitutiva del sindicato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Hipervínculo al oficio, petición, carta o documento en el que conste la petición del donativo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Monto de los recursos públicos entregados en efectivo, en especie o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Objetivos por los cuales se entrega el donativo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Descripción de los recursos en especie,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Hipervínculo, en su caso, al informe de uso de recursos que entregue el sindicato al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23. Hipervínculo, en su caso, al(los) Programa(s) con objetivos </w:t>
            </w:r>
            <w:r w:rsidRPr="004C1B50">
              <w:rPr>
                <w:rFonts w:ascii="Adobe Caslon Pro" w:hAnsi="Adobe Caslon Pro"/>
                <w:sz w:val="16"/>
                <w:szCs w:val="16"/>
              </w:rPr>
              <w:lastRenderedPageBreak/>
              <w:t>y metas por los que se entregan los recursos para cubrir las prestaciones establecidas en las Condiciones Generales de Trabajo de los Contratos Colectivos de Trabajo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Hipervínculo, en su caso, a los Programas con objetivos y metas por los que se entregan los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trimestral; cuando se establezca, modifique o derogue cualquier norma laboral aplicable al sujeto obligado, la información normativa deberá actualizarse en un plazo no mayor a 15 días hábiles a partir de su publicación y/o aprobación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30. Fecha de validación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La información publicada se organiza mediante los formatos 16a y 16b, en los que se incluyen todos los campos especificados en los criterios sustantivos de contenido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32.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Periodo que se informa (fecha de inicio y fecha de término)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11. Tipo de recursos públicos (catálogo): efectivo / en especie (materiales) / </w:t>
            </w:r>
            <w:r w:rsidRPr="004C1B50">
              <w:rPr>
                <w:rFonts w:ascii="Adobe Caslon Pro" w:hAnsi="Adobe Caslon Pro"/>
                <w:sz w:val="16"/>
                <w:szCs w:val="16"/>
              </w:rPr>
              <w:lastRenderedPageBreak/>
              <w:t>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Descripción y/o monto de los recursos públicos entregados en efectivo, especie o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13. Motivos por los cuales se entrega el recurso en efectivo, especie o donativo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14. Fecha de entrega de los recursos públicos,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Denominación del(os) sindicato(s) al(os) cual(es) se les entregó el recurso público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Hipervínculo al oficio, petición, carta o documento en el que conste la petición del donativo,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Hipervínculo, en su caso, al informe de uso de recursos en efectivo, especie o donativos que entregue el sindicato al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Hipervínculo, en su caso, al(los) Programa(s) con objetivos y metas por los que se entregan los recursos para cubrir las prestaciones establecidas en las Condiciones Generales de Trabajo de los Contratos Colectivos de Trabajo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Hipervínculo, en su caso, a los Programas con objetivos y metas por los que se entregan los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Periodo de actualización de la información: trimestral; cuando se establezca, modifique o derogue cualquier norma laboral aplicable al sujeto obligado, la información normativa deberá actualizarse en un plazo no mayor a 15 días hábiles a partir de su publicación y/o aprobación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23. Área(s) responsable(s) que genera(n), posee(n), publica(n) y/o actualiza(n)la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24. Fecha de actualización de la </w:t>
            </w:r>
            <w:r w:rsidRPr="004C1B50">
              <w:rPr>
                <w:rFonts w:ascii="Adobe Caslon Pro" w:hAnsi="Adobe Caslon Pro"/>
                <w:sz w:val="16"/>
                <w:szCs w:val="16"/>
              </w:rPr>
              <w:lastRenderedPageBreak/>
              <w:t xml:space="preserve">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lastRenderedPageBreak/>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25. Fecha de validación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Nota. Este criterio se cumple en caso de que sea necesario que el sujeto obligado incluya alguna aclaración relativa a la información publicada y/o explicación por la falta 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XVII. Datos curriculares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Clave o nivel del puesto (de acuerdo con el catálogo que regule la actividad del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Periodo de actualización de la información: trimestral. En su caso, 15 días hábiles después de alguna modificación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16. Conservar en el sitio de Internet y a través de la Plataforma Nacional la información vigente de acuerdo con la Tabla de actualización y </w:t>
            </w:r>
            <w:r w:rsidRPr="004C1B50">
              <w:rPr>
                <w:rFonts w:ascii="Adobe Caslon Pro" w:hAnsi="Adobe Caslon Pro"/>
                <w:sz w:val="16"/>
                <w:szCs w:val="16"/>
              </w:rPr>
              <w:lastRenderedPageBreak/>
              <w:t>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detectó que la información de los documentos a los que redirigen los hipervínculos del criterio 12 no son reutilizables.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XIX. Servicios</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2018</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Instrumentación, Difusión, ENAPROC y DST-SJ</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10. Hipervínculo al/los formato(s) respectivo(s) publicado(s) en medio oficial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identificó un registro en blanco, sin que se justifique en el campo "Notas" la ausencia de información para este criterio.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Default="000D34C6" w:rsidP="00E61C17">
            <w:pPr>
              <w:jc w:val="both"/>
              <w:rPr>
                <w:rFonts w:ascii="Adobe Caslon Pro" w:hAnsi="Adobe Caslon Pro"/>
                <w:sz w:val="16"/>
                <w:szCs w:val="16"/>
                <w:highlight w:val="yellow"/>
              </w:rPr>
            </w:pPr>
            <w:r w:rsidRPr="00E61C17">
              <w:rPr>
                <w:rFonts w:ascii="Adobe Caslon Pro" w:hAnsi="Adobe Caslon Pro"/>
                <w:sz w:val="16"/>
                <w:szCs w:val="16"/>
              </w:rPr>
              <w:t xml:space="preserve">De </w:t>
            </w:r>
            <w:r w:rsidR="00E61C17">
              <w:rPr>
                <w:rFonts w:ascii="Adobe Caslon Pro" w:hAnsi="Adobe Caslon Pro"/>
                <w:sz w:val="16"/>
                <w:szCs w:val="16"/>
              </w:rPr>
              <w:t>acuerdo con el Diccionario de Datos de los Lineamientos Técnicos Generales 2018</w:t>
            </w:r>
            <w:r>
              <w:rPr>
                <w:rFonts w:ascii="Adobe Caslon Pro" w:hAnsi="Adobe Caslon Pro"/>
                <w:sz w:val="16"/>
                <w:szCs w:val="16"/>
              </w:rPr>
              <w:t xml:space="preserve">, el Criterio 10 no es </w:t>
            </w:r>
            <w:r w:rsidR="00E61C17">
              <w:rPr>
                <w:rFonts w:ascii="Adobe Caslon Pro" w:hAnsi="Adobe Caslon Pro"/>
                <w:sz w:val="16"/>
                <w:szCs w:val="16"/>
              </w:rPr>
              <w:t xml:space="preserve">un dato requerido. </w:t>
            </w:r>
            <w:r w:rsidR="000026DA">
              <w:rPr>
                <w:rFonts w:ascii="Adobe Caslon Pro" w:hAnsi="Adobe Caslon Pro"/>
                <w:sz w:val="16"/>
                <w:szCs w:val="16"/>
                <w:highlight w:val="yellow"/>
              </w:rPr>
              <w:t xml:space="preserve"> </w:t>
            </w:r>
          </w:p>
          <w:p w:rsidR="00E61C17" w:rsidRPr="004C1B50" w:rsidRDefault="00E61C17" w:rsidP="00E61C17">
            <w:pPr>
              <w:jc w:val="both"/>
              <w:rPr>
                <w:rFonts w:ascii="Adobe Caslon Pro" w:hAnsi="Adobe Caslon Pro"/>
                <w:sz w:val="16"/>
                <w:szCs w:val="16"/>
                <w:highlight w:val="yellow"/>
              </w:rPr>
            </w:pPr>
            <w:r w:rsidRPr="00E61C17">
              <w:rPr>
                <w:rFonts w:ascii="Adobe Caslon Pro" w:hAnsi="Adobe Caslon Pro"/>
                <w:sz w:val="16"/>
                <w:szCs w:val="16"/>
              </w:rPr>
              <w:t xml:space="preserve">Sin embargo, el sujeto </w:t>
            </w:r>
            <w:r>
              <w:rPr>
                <w:rFonts w:ascii="Adobe Caslon Pro" w:hAnsi="Adobe Caslon Pro"/>
                <w:sz w:val="16"/>
                <w:szCs w:val="16"/>
              </w:rPr>
              <w:t xml:space="preserve">obligado ingresó la información. Se anexa la captura de pantalla de la información cargada en el Sistema. </w:t>
            </w:r>
          </w:p>
        </w:tc>
        <w:tc>
          <w:tcPr>
            <w:tcW w:w="1559" w:type="dxa"/>
          </w:tcPr>
          <w:p w:rsidR="004C1B50" w:rsidRPr="004C1B50" w:rsidRDefault="00356000" w:rsidP="006C3887">
            <w:pPr>
              <w:jc w:val="both"/>
              <w:rPr>
                <w:rFonts w:ascii="Adobe Caslon Pro" w:hAnsi="Adobe Caslon Pro"/>
                <w:sz w:val="16"/>
                <w:szCs w:val="16"/>
                <w:highlight w:val="yellow"/>
              </w:rPr>
            </w:pPr>
            <w:r w:rsidRPr="00356000">
              <w:rPr>
                <w:rFonts w:ascii="Adobe Caslon Pro" w:hAnsi="Adobe Caslon Pro"/>
                <w:sz w:val="16"/>
                <w:szCs w:val="16"/>
              </w:rPr>
              <w:t>Ing. Enrique Bravo Medina, Director de la Escuela Nacional de Protección</w:t>
            </w: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13. Domicilio de la oficina de atención (tipo de vialidad [catálogo], nombre de vialidad [calle], número exterior, número interior [en su caso], tipo de asentamiento humano [catálogo], nombre de asentamiento humano [colonia], clave de la localidad, nombre de la localidad, clave del municipio, nombre del municipio o delegación, clave de la entidad federativa,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campos en blanco en los registros "clave del municipio", y "nombre del municipio o delegación".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3D55FB" w:rsidRDefault="003D55FB" w:rsidP="003D55FB">
            <w:pPr>
              <w:jc w:val="both"/>
              <w:rPr>
                <w:rFonts w:ascii="Adobe Caslon Pro" w:hAnsi="Adobe Caslon Pro"/>
                <w:sz w:val="16"/>
                <w:szCs w:val="16"/>
                <w:highlight w:val="yellow"/>
              </w:rPr>
            </w:pPr>
            <w:r w:rsidRPr="00E61C17">
              <w:rPr>
                <w:rFonts w:ascii="Adobe Caslon Pro" w:hAnsi="Adobe Caslon Pro"/>
                <w:sz w:val="16"/>
                <w:szCs w:val="16"/>
              </w:rPr>
              <w:t xml:space="preserve">De </w:t>
            </w:r>
            <w:r>
              <w:rPr>
                <w:rFonts w:ascii="Adobe Caslon Pro" w:hAnsi="Adobe Caslon Pro"/>
                <w:sz w:val="16"/>
                <w:szCs w:val="16"/>
              </w:rPr>
              <w:t>acuerdo con el Diccionario de Datos de los Lineamientos Técnicos Generales 2018, el Criterio 1</w:t>
            </w:r>
            <w:r w:rsidR="00AE4EF7">
              <w:rPr>
                <w:rFonts w:ascii="Adobe Caslon Pro" w:hAnsi="Adobe Caslon Pro"/>
                <w:sz w:val="16"/>
                <w:szCs w:val="16"/>
              </w:rPr>
              <w:t>3</w:t>
            </w:r>
            <w:r>
              <w:rPr>
                <w:rFonts w:ascii="Adobe Caslon Pro" w:hAnsi="Adobe Caslon Pro"/>
                <w:sz w:val="16"/>
                <w:szCs w:val="16"/>
              </w:rPr>
              <w:t xml:space="preserve"> no es un dato requerido. </w:t>
            </w:r>
            <w:r>
              <w:rPr>
                <w:rFonts w:ascii="Adobe Caslon Pro" w:hAnsi="Adobe Caslon Pro"/>
                <w:sz w:val="16"/>
                <w:szCs w:val="16"/>
                <w:highlight w:val="yellow"/>
              </w:rPr>
              <w:t xml:space="preserve"> </w:t>
            </w:r>
          </w:p>
          <w:p w:rsidR="004C1B50" w:rsidRPr="004C1B50" w:rsidRDefault="003D55FB" w:rsidP="003D55FB">
            <w:pPr>
              <w:jc w:val="both"/>
              <w:rPr>
                <w:rFonts w:ascii="Adobe Caslon Pro" w:hAnsi="Adobe Caslon Pro"/>
                <w:sz w:val="16"/>
                <w:szCs w:val="16"/>
                <w:highlight w:val="yellow"/>
              </w:rPr>
            </w:pPr>
            <w:r w:rsidRPr="00E61C17">
              <w:rPr>
                <w:rFonts w:ascii="Adobe Caslon Pro" w:hAnsi="Adobe Caslon Pro"/>
                <w:sz w:val="16"/>
                <w:szCs w:val="16"/>
              </w:rPr>
              <w:t xml:space="preserve">Sin embargo, el sujeto </w:t>
            </w:r>
            <w:r>
              <w:rPr>
                <w:rFonts w:ascii="Adobe Caslon Pro" w:hAnsi="Adobe Caslon Pro"/>
                <w:sz w:val="16"/>
                <w:szCs w:val="16"/>
              </w:rPr>
              <w:t>obligado ingresó la información. Se anexa la captura de pantalla de la información cargada en el Sistema.</w:t>
            </w:r>
          </w:p>
        </w:tc>
        <w:tc>
          <w:tcPr>
            <w:tcW w:w="1559" w:type="dxa"/>
          </w:tcPr>
          <w:p w:rsidR="004C1B50" w:rsidRPr="004C1B50" w:rsidRDefault="000026DA" w:rsidP="006C3887">
            <w:pPr>
              <w:jc w:val="both"/>
              <w:rPr>
                <w:rFonts w:ascii="Adobe Caslon Pro" w:hAnsi="Adobe Caslon Pro"/>
                <w:sz w:val="16"/>
                <w:szCs w:val="16"/>
                <w:highlight w:val="yellow"/>
              </w:rPr>
            </w:pPr>
            <w:r w:rsidRPr="00356000">
              <w:rPr>
                <w:rFonts w:ascii="Adobe Caslon Pro" w:hAnsi="Adobe Caslon Pro"/>
                <w:sz w:val="16"/>
                <w:szCs w:val="16"/>
              </w:rPr>
              <w:t>Ing. Enrique Bravo Medina, Director de la Escuela Nacional de Protección</w:t>
            </w: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Criterio 25. Domicilio </w:t>
            </w:r>
            <w:r w:rsidRPr="004C1B50">
              <w:rPr>
                <w:rFonts w:ascii="Adobe Caslon Pro" w:hAnsi="Adobe Caslon Pro"/>
                <w:sz w:val="16"/>
                <w:szCs w:val="16"/>
              </w:rPr>
              <w:lastRenderedPageBreak/>
              <w:t>(tipo de vialidad [catálogo], nombre de vialidad [calle], número exterior, número interior [en su caso], tipo de asentamiento humano [catálogo], nombre de asentamiento humano [colonia], clave de la localidad, nombre de la localidad, clave del municipio, nombre del municipio o delegación, clave de la entidad federativa,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lastRenderedPageBreak/>
              <w:t xml:space="preserve">Se identificaron campos en blanco en los registros "clave del municipio", y </w:t>
            </w:r>
            <w:r w:rsidRPr="004C1B50">
              <w:rPr>
                <w:rFonts w:ascii="Adobe Caslon Pro" w:hAnsi="Adobe Caslon Pro"/>
                <w:sz w:val="16"/>
                <w:szCs w:val="16"/>
              </w:rPr>
              <w:lastRenderedPageBreak/>
              <w:t xml:space="preserve">"nombre del municipio o delegación".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9934CB" w:rsidRDefault="009934CB" w:rsidP="009934CB">
            <w:pPr>
              <w:jc w:val="both"/>
              <w:rPr>
                <w:rFonts w:ascii="Adobe Caslon Pro" w:hAnsi="Adobe Caslon Pro"/>
                <w:sz w:val="16"/>
                <w:szCs w:val="16"/>
                <w:highlight w:val="yellow"/>
              </w:rPr>
            </w:pPr>
            <w:r w:rsidRPr="00E61C17">
              <w:rPr>
                <w:rFonts w:ascii="Adobe Caslon Pro" w:hAnsi="Adobe Caslon Pro"/>
                <w:sz w:val="16"/>
                <w:szCs w:val="16"/>
              </w:rPr>
              <w:lastRenderedPageBreak/>
              <w:t xml:space="preserve">De </w:t>
            </w:r>
            <w:r>
              <w:rPr>
                <w:rFonts w:ascii="Adobe Caslon Pro" w:hAnsi="Adobe Caslon Pro"/>
                <w:sz w:val="16"/>
                <w:szCs w:val="16"/>
              </w:rPr>
              <w:t xml:space="preserve">acuerdo con el </w:t>
            </w:r>
            <w:r>
              <w:rPr>
                <w:rFonts w:ascii="Adobe Caslon Pro" w:hAnsi="Adobe Caslon Pro"/>
                <w:sz w:val="16"/>
                <w:szCs w:val="16"/>
              </w:rPr>
              <w:lastRenderedPageBreak/>
              <w:t xml:space="preserve">Diccionario de Datos de los Lineamientos Técnicos Generales 2018, el Criterio </w:t>
            </w:r>
            <w:r>
              <w:rPr>
                <w:rFonts w:ascii="Adobe Caslon Pro" w:hAnsi="Adobe Caslon Pro"/>
                <w:sz w:val="16"/>
                <w:szCs w:val="16"/>
              </w:rPr>
              <w:t>25</w:t>
            </w:r>
            <w:r>
              <w:rPr>
                <w:rFonts w:ascii="Adobe Caslon Pro" w:hAnsi="Adobe Caslon Pro"/>
                <w:sz w:val="16"/>
                <w:szCs w:val="16"/>
              </w:rPr>
              <w:t xml:space="preserve"> no es un dato requerido. </w:t>
            </w:r>
            <w:r>
              <w:rPr>
                <w:rFonts w:ascii="Adobe Caslon Pro" w:hAnsi="Adobe Caslon Pro"/>
                <w:sz w:val="16"/>
                <w:szCs w:val="16"/>
                <w:highlight w:val="yellow"/>
              </w:rPr>
              <w:t xml:space="preserve"> </w:t>
            </w:r>
          </w:p>
          <w:p w:rsidR="004C1B50" w:rsidRPr="004C1B50" w:rsidRDefault="009934CB" w:rsidP="009934CB">
            <w:pPr>
              <w:jc w:val="both"/>
              <w:rPr>
                <w:rFonts w:ascii="Adobe Caslon Pro" w:hAnsi="Adobe Caslon Pro"/>
                <w:sz w:val="16"/>
                <w:szCs w:val="16"/>
                <w:highlight w:val="yellow"/>
              </w:rPr>
            </w:pPr>
            <w:r w:rsidRPr="00E61C17">
              <w:rPr>
                <w:rFonts w:ascii="Adobe Caslon Pro" w:hAnsi="Adobe Caslon Pro"/>
                <w:sz w:val="16"/>
                <w:szCs w:val="16"/>
              </w:rPr>
              <w:t xml:space="preserve">Sin embargo, el sujeto </w:t>
            </w:r>
            <w:r>
              <w:rPr>
                <w:rFonts w:ascii="Adobe Caslon Pro" w:hAnsi="Adobe Caslon Pro"/>
                <w:sz w:val="16"/>
                <w:szCs w:val="16"/>
              </w:rPr>
              <w:t>obligado ingresó la información. Se anexa la captura de pantalla de la información cargada en el Sistema.</w:t>
            </w:r>
          </w:p>
        </w:tc>
        <w:tc>
          <w:tcPr>
            <w:tcW w:w="1559" w:type="dxa"/>
          </w:tcPr>
          <w:p w:rsidR="004C1B50" w:rsidRPr="004C1B50" w:rsidRDefault="000026DA" w:rsidP="006C3887">
            <w:pPr>
              <w:jc w:val="both"/>
              <w:rPr>
                <w:rFonts w:ascii="Adobe Caslon Pro" w:hAnsi="Adobe Caslon Pro"/>
                <w:sz w:val="16"/>
                <w:szCs w:val="16"/>
                <w:highlight w:val="yellow"/>
              </w:rPr>
            </w:pPr>
            <w:r w:rsidRPr="00356000">
              <w:rPr>
                <w:rFonts w:ascii="Adobe Caslon Pro" w:hAnsi="Adobe Caslon Pro"/>
                <w:sz w:val="16"/>
                <w:szCs w:val="16"/>
              </w:rPr>
              <w:lastRenderedPageBreak/>
              <w:t xml:space="preserve">Ing. Enrique Bravo </w:t>
            </w:r>
            <w:r w:rsidRPr="00356000">
              <w:rPr>
                <w:rFonts w:ascii="Adobe Caslon Pro" w:hAnsi="Adobe Caslon Pro"/>
                <w:sz w:val="16"/>
                <w:szCs w:val="16"/>
              </w:rPr>
              <w:lastRenderedPageBreak/>
              <w:t>Medina, Director de la Escuela Nacional de Protección</w:t>
            </w: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XX. Trámites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Documentos requeridos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Sustento legal para su cobro,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Derechos del usuario ante la negativa o falta de respuesta (especificar si aplica la afirmativa o negativa ficta)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Nota. Este criterio se cumple en caso de que sea necesario que el sujeto obligado incluya alguna aclaración relativa a la información publicada y/o explicación por la falta 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XXII. Deuda pública</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 Probablemente los números hacen referencia a una fecha sin formato, sin embargo se requiere un intervalo de tiempo y no una fechas especifica en el "Periodo que se informa"</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30.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32. Fecha de validación de la información publicada con el formato día/mes/año (por ej. 30/Abril/2016)</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XXIII. Comunicación social y publicidad</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59. Periodo que se informa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87.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XXIV. Resultado de auditorías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en el que se dio inicio a la auditoría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27. Conservar en el sitio de Internet y a través de la Plataforma </w:t>
            </w:r>
            <w:r w:rsidRPr="004C1B50">
              <w:rPr>
                <w:rFonts w:ascii="Adobe Caslon Pro" w:hAnsi="Adobe Caslon Pro"/>
                <w:sz w:val="16"/>
                <w:szCs w:val="16"/>
              </w:rPr>
              <w:lastRenderedPageBreak/>
              <w:t>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las fechas de actualización son posteriores a las de validación, cuando en los Lineamientos Técnicos Generales se indica que las primeras tienen que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XXV. Dictámenes estados financieros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Área(s) o unidad(es)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XXVII. Concesiones, contratos, convenios, permisos, licencias...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No se encontraron registros en el campo.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XXVIII. Procedimientos de adjudicación directa</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Hipervínculo al fallo de la de aclaraciones o al documento correspondiente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hipervínculo: http://www1.cenapred.unam.mx/COORDINACION_ADMINISTRATIVA/SRM/FRACCION_XXVIIIA/2016/SG-CPS-90-2016/HJA_90_16.pdf</w:t>
            </w:r>
          </w:p>
          <w:p w:rsidR="004C1B50" w:rsidRPr="004C1B50" w:rsidRDefault="004C1B50" w:rsidP="006C3887">
            <w:pPr>
              <w:jc w:val="both"/>
              <w:rPr>
                <w:rFonts w:ascii="Adobe Caslon Pro" w:hAnsi="Adobe Caslon Pro"/>
                <w:sz w:val="16"/>
                <w:szCs w:val="16"/>
              </w:rPr>
            </w:pPr>
            <w:proofErr w:type="gramStart"/>
            <w:r w:rsidRPr="004C1B50">
              <w:rPr>
                <w:rFonts w:ascii="Adobe Caslon Pro" w:hAnsi="Adobe Caslon Pro"/>
                <w:sz w:val="16"/>
                <w:szCs w:val="16"/>
              </w:rPr>
              <w:t>está</w:t>
            </w:r>
            <w:proofErr w:type="gramEnd"/>
            <w:r w:rsidRPr="004C1B50">
              <w:rPr>
                <w:rFonts w:ascii="Adobe Caslon Pro" w:hAnsi="Adobe Caslon Pro"/>
                <w:sz w:val="16"/>
                <w:szCs w:val="16"/>
              </w:rPr>
              <w:t xml:space="preserve"> roto o no redirige a la información solicitada.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51. Hipervínculo al acta de recepción física de los trabajos ejecutados </w:t>
            </w:r>
            <w:proofErr w:type="spellStart"/>
            <w:r w:rsidRPr="004C1B50">
              <w:rPr>
                <w:rFonts w:ascii="Adobe Caslon Pro" w:hAnsi="Adobe Caslon Pro"/>
                <w:sz w:val="16"/>
                <w:szCs w:val="16"/>
              </w:rPr>
              <w:t>u</w:t>
            </w:r>
            <w:proofErr w:type="spellEnd"/>
            <w:r w:rsidRPr="004C1B50">
              <w:rPr>
                <w:rFonts w:ascii="Adobe Caslon Pro" w:hAnsi="Adobe Caslon Pro"/>
                <w:sz w:val="16"/>
                <w:szCs w:val="16"/>
              </w:rPr>
              <w:t xml:space="preserve"> homóloga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hipervínculo: http://www1.cenapred.unam.mx/COORDINACION_ADMINISTRATIVA/SRM/FRACCION_XXVIIIA/2016/SG-CPS-90-2016/HRF_90_16.pdf</w:t>
            </w:r>
          </w:p>
          <w:p w:rsidR="004C1B50" w:rsidRPr="004C1B50" w:rsidRDefault="004C1B50" w:rsidP="006C3887">
            <w:pPr>
              <w:jc w:val="both"/>
              <w:rPr>
                <w:rFonts w:ascii="Adobe Caslon Pro" w:hAnsi="Adobe Caslon Pro"/>
                <w:sz w:val="16"/>
                <w:szCs w:val="16"/>
              </w:rPr>
            </w:pPr>
            <w:proofErr w:type="gramStart"/>
            <w:r w:rsidRPr="004C1B50">
              <w:rPr>
                <w:rFonts w:ascii="Adobe Caslon Pro" w:hAnsi="Adobe Caslon Pro"/>
                <w:sz w:val="16"/>
                <w:szCs w:val="16"/>
              </w:rPr>
              <w:t>está</w:t>
            </w:r>
            <w:proofErr w:type="gramEnd"/>
            <w:r w:rsidRPr="004C1B50">
              <w:rPr>
                <w:rFonts w:ascii="Adobe Caslon Pro" w:hAnsi="Adobe Caslon Pro"/>
                <w:sz w:val="16"/>
                <w:szCs w:val="16"/>
              </w:rPr>
              <w:t xml:space="preserve"> roto o no redirige a la información solicitada.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acuer</w:t>
            </w:r>
            <w:proofErr w:type="spellEnd"/>
            <w:r w:rsidRPr="004C1B50">
              <w:rPr>
                <w:rFonts w:ascii="Adobe Caslon Pro" w:hAnsi="Adobe Caslon Pro"/>
                <w:sz w:val="16"/>
                <w:szCs w:val="16"/>
              </w:rPr>
              <w:t>"</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57. Hipervínculo a la autorización del ejercicio </w:t>
            </w:r>
            <w:r w:rsidRPr="004C1B50">
              <w:rPr>
                <w:rFonts w:ascii="Adobe Caslon Pro" w:hAnsi="Adobe Caslon Pro"/>
                <w:sz w:val="16"/>
                <w:szCs w:val="16"/>
              </w:rPr>
              <w:lastRenderedPageBreak/>
              <w:t>de la opción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los registros para este criterio se encuentran vacíos, sin que se justifique la ausencia de información en el campo "Notas". Por lo tanto, </w:t>
            </w:r>
            <w:r w:rsidRPr="004C1B50">
              <w:rPr>
                <w:rFonts w:ascii="Adobe Caslon Pro" w:hAnsi="Adobe Caslon Pro"/>
                <w:sz w:val="16"/>
                <w:szCs w:val="16"/>
              </w:rPr>
              <w:lastRenderedPageBreak/>
              <w:t>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64. Número que identifique al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utiliza la leyenda "No Aplica", sin que especifique en el campo "Notas" por qué la información de ese criterio no es colocada. Por lo tanto, deberá cambiar la leyenda por una justificación </w:t>
            </w:r>
            <w:proofErr w:type="spellStart"/>
            <w:r w:rsidRPr="004C1B50">
              <w:rPr>
                <w:rFonts w:ascii="Adobe Caslon Pro" w:hAnsi="Adobe Caslon Pro"/>
                <w:sz w:val="16"/>
                <w:szCs w:val="16"/>
              </w:rPr>
              <w:t>valida</w:t>
            </w:r>
            <w:proofErr w:type="spellEnd"/>
            <w:r w:rsidRPr="004C1B50">
              <w:rPr>
                <w:rFonts w:ascii="Adobe Caslon Pro" w:hAnsi="Adobe Caslon Pro"/>
                <w:sz w:val="16"/>
                <w:szCs w:val="16"/>
              </w:rPr>
              <w:t xml:space="preserve"> para la ausencia de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73. Monto total de las garantías y/o contragarantías que, en su caso, se hubieren otorgado durante el procedimiento respectivo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76. Hipervínculo al documento del contrato y sus anexos,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77. Hipervínculo, en su caso al comunicado de suspensión, rescisión o terminación anticipada del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80. Lugar donde se realizará la obra pública y/o servicio relacionado con la misma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coloca en los registros de este criterio la leyenda ""Ver Nota"", sin embargo, en el campo ""Nota"" no se específica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81. Hipervínculo a los estudios de impacto urbano y ambiental. En su caso, señalar que no se realizaron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82. Incluir, en su caso, observaciones dirigidas a la población relativas a la realización de las obras públicas, tales como: cierre de calles, cambio de circulación, impedimentos de paso, </w:t>
            </w:r>
            <w:r w:rsidRPr="004C1B50">
              <w:rPr>
                <w:rFonts w:ascii="Adobe Caslon Pro" w:hAnsi="Adobe Caslon Pro"/>
                <w:sz w:val="16"/>
                <w:szCs w:val="16"/>
              </w:rPr>
              <w:lastRenderedPageBreak/>
              <w:t>etcétera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el Sujeto Obligado coloca en los registros de este criterio la leyenda ""Ver Nota"", sin embargo, en el campo ""Nota"" no se específica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83. Etapa de la obra pública y/o servicio de la misma: en planeación, en ejecución; o en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90. Hipervínculo en su caso, al (los) Informe(s) de avance físicos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91. Hipervínculo, en su caso, al (los) Informe(s) de avance financieros,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93. Hipervínculo al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94.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y segundo trimestre de 2016. Por lo tanto, deberá complementar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67. Hipervínculo a la autorización del ejercicio de la opción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70. Registro Federal de Contribuyentes (RFC) de las personas físicas o morales posibles contratantes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los RFC de las personas físicas posibles contratantes, por lo tanto,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73. Registro Federal de Contribuyentes (RFC) de la persona física o moral adjudicada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los RFC de las personas físicas posibles contratantes, por lo tanto,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76. Número que identifique al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leyenda "No Aplica" para justificar la ausencia de información. Deberá cambiar esa denominación y colocar en el campo "Nota" la razón por la que no se generó esa información.</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86. Monto total de las garantías y/o </w:t>
            </w:r>
            <w:r w:rsidRPr="004C1B50">
              <w:rPr>
                <w:rFonts w:ascii="Adobe Caslon Pro" w:hAnsi="Adobe Caslon Pro"/>
                <w:sz w:val="16"/>
                <w:szCs w:val="16"/>
              </w:rPr>
              <w:lastRenderedPageBreak/>
              <w:t>contragarantías que, en su caso, se hubieren otorgado durante el procedimiento respectivo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sin que se justifique la ausencia de información en el campo "Notas". Por lo tanto, deberá cargar la información </w:t>
            </w:r>
            <w:r w:rsidRPr="004C1B50">
              <w:rPr>
                <w:rFonts w:ascii="Adobe Caslon Pro" w:hAnsi="Adobe Caslon Pro"/>
                <w:sz w:val="16"/>
                <w:szCs w:val="16"/>
              </w:rPr>
              <w:lastRenderedPageBreak/>
              <w:t>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89. Hipervínculo al documento del contrato y sus anexos,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90. Hipervínculo, en su caso al comunicado de suspensión, rescisión o terminación anticipada del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93. Lugar donde se realizará la obra pública y/o servicio relacionado con la misma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utiliza la leyenda "Ver Nota" para justificar la ausencia de información, sin embargo en el campo "Nota" no hay información que justifique la ausencia de la misma para el criterio.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lo faltante de acuerdo a los Lineamientos Técnicos Federales.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94. Hipervínculo a los estudios de impacto urbano y ambiental. En su caso, señalar que no se realizaron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95. Incluir, en su caso, observaciones dirigidas a la población relativas a la realización de las obras públicas, tales como: cierre de calles, cambio de circulación, impedimentos de paso, etcétera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98. Número que le corresponde al(los) convenio(s) modificatorio(s) que recaiga(n) a la contratación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99. Objeto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justifique la ausencia de información en el campo "Notas". Por lo tanto, deberá cargar la información </w:t>
            </w:r>
            <w:r w:rsidRPr="004C1B50">
              <w:rPr>
                <w:rFonts w:ascii="Adobe Caslon Pro" w:hAnsi="Adobe Caslon Pro"/>
                <w:sz w:val="16"/>
                <w:szCs w:val="16"/>
              </w:rPr>
              <w:lastRenderedPageBreak/>
              <w:t>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101. Hipervínculo al documento del convenio,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103. Hipervínculo en su caso, al (los) Informe(s) de avance físicos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104. Hipervínculo, en su caso, al (los) Informe(s) de avance financieros,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106. Hipervínculo al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 información a la que redirigen los hipervínculos de los documentos en el criterio 105 no es reutilizable,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Federales.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XXIX. Informes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Difusión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10. La información publicada deberá estar actualizada al periodo que corresponde de acuerdo con la Tabla de actualización y conservación de la </w:t>
            </w:r>
            <w:r w:rsidRPr="004C1B50">
              <w:rPr>
                <w:rFonts w:ascii="Adobe Caslon Pro" w:hAnsi="Adobe Caslon Pro"/>
                <w:sz w:val="16"/>
                <w:szCs w:val="16"/>
              </w:rPr>
              <w:lastRenderedPageBreak/>
              <w:t>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Hipervínculo al documento del informe que corresponda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hipervínculo está roto. Por lo tanto, deberá cargar y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 Estadísticas generadas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Análisis y Gestión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Hipervínculo a las series o bancos de datos existentes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"Hay registros en blanco para este criterio, sin que en el campo ""Notas"" se justifique de manera adecuada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XXXIII. Convenios con sector social y privado</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rPr>
          <w:trHeight w:val="409"/>
        </w:trPr>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que redirigen los hipervínculos en los criterios 11 y 12 no se </w:t>
            </w:r>
            <w:proofErr w:type="gramStart"/>
            <w:r w:rsidRPr="004C1B50">
              <w:rPr>
                <w:rFonts w:ascii="Adobe Caslon Pro" w:hAnsi="Adobe Caslon Pro"/>
                <w:sz w:val="16"/>
                <w:szCs w:val="16"/>
              </w:rPr>
              <w:t>puede</w:t>
            </w:r>
            <w:proofErr w:type="gramEnd"/>
            <w:r w:rsidRPr="004C1B50">
              <w:rPr>
                <w:rFonts w:ascii="Adobe Caslon Pro" w:hAnsi="Adobe Caslon Pro"/>
                <w:sz w:val="16"/>
                <w:szCs w:val="16"/>
              </w:rPr>
              <w:t xml:space="preserve"> reutilizar. Por lo tanto, deberá cargar la información adecuadamente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Tipo de convenio (catálogo): de coordinación con el sector social/de coordinación con el sector privado/de concertación con el sector social/de concertación con el sector privado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Denominación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Fecha de firma del convenio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 Nombre del área(s) responsable(s) de dar seguimiento al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Con quién se celebra el convenio nombre(s), primer apellido, segundo apellido en caso de persona física; razón social si es persona moral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Objetivo(s)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Fuente de los recursos que se emplearán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10. Descripción y/o monto de los recursos públicos entregados en efectivo, especie o donativos, en su caso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Vigencia del convenio: Inicio y término, ambos datos expresados en el formato día/mes/año. En el caso de la fecha de término se considerará también la opción de registrar la palabra “abierta”, para aquellos casos en que la vigencia de un convenio no se especifique en su texto y, por ende, tenga esta característica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Fecha de publicación en el Diario Oficial de la Federación u otro medio homólogo con el formato día/mes/año. Para los casos en que el convenio no hubiere sido publicado por un medio oficial, se contemplará la opción de registrar una nota que señale que no fue publicado en medio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Hipervínculo al documento, en su caso a la versión pública o al documento signado, si es que no existe la publicación en periódico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Hipervínculo al documento con las modificaciones realizadas,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16. La información deberá estar actualizada al periodo que corresponde, de acuerdo </w:t>
            </w:r>
            <w:r w:rsidRPr="004C1B50">
              <w:rPr>
                <w:rFonts w:ascii="Adobe Caslon Pro" w:hAnsi="Adobe Caslon Pro"/>
                <w:sz w:val="16"/>
                <w:szCs w:val="16"/>
              </w:rPr>
              <w:lastRenderedPageBreak/>
              <w:t>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rPr>
          <w:trHeight w:val="1271"/>
        </w:trPr>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XXXIV. Inventario de bienes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Descripción del bien (incluir marca y modelo o, en su caso, señalar si corresponde a una pieza arqueológica, artística, histórica o de otra naturaleza)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Código de identificación,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Cantidad (total para cada uno de los bienes)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6. Monto unitario </w:t>
            </w:r>
            <w:r w:rsidRPr="004C1B50">
              <w:rPr>
                <w:rFonts w:ascii="Adobe Caslon Pro" w:hAnsi="Adobe Caslon Pro"/>
                <w:sz w:val="16"/>
                <w:szCs w:val="16"/>
              </w:rPr>
              <w:lastRenderedPageBreak/>
              <w:t>del bien (precio de adquisición o valor contable)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al formato </w:t>
            </w:r>
            <w:r w:rsidRPr="004C1B50">
              <w:rPr>
                <w:rFonts w:ascii="Adobe Caslon Pro" w:hAnsi="Adobe Caslon Pro"/>
                <w:sz w:val="16"/>
                <w:szCs w:val="16"/>
              </w:rPr>
              <w:lastRenderedPageBreak/>
              <w:t xml:space="preserve">"Inventario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Monto por grupo de bienes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Inventario semestral de altas practicadas a los bienes muebles especificando: descripción del bien, cantidad, causa de alta, fecha con el formato día/mes/año (por ej. 31/Marzo/2016) y valor del bien a la fecha de la alta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Inventario semestral de bajas practicadas a los bienes muebles especificando: descripción del bien, cantidad, causa de baja, fecha con el formato día/mes/año (por ej. 31/Marzo/2016) y valor del bien a la fecha  de la baja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w:t>
            </w:r>
            <w:proofErr w:type="gramStart"/>
            <w:r w:rsidRPr="004C1B50">
              <w:rPr>
                <w:rFonts w:ascii="Adobe Caslon Pro" w:hAnsi="Adobe Caslon Pro"/>
                <w:sz w:val="16"/>
                <w:szCs w:val="16"/>
              </w:rPr>
              <w:t>37 .</w:t>
            </w:r>
            <w:proofErr w:type="gramEnd"/>
            <w:r w:rsidRPr="004C1B50">
              <w:rPr>
                <w:rFonts w:ascii="Adobe Caslon Pro" w:hAnsi="Adobe Caslon Pro"/>
                <w:sz w:val="16"/>
                <w:szCs w:val="16"/>
              </w:rPr>
              <w:t xml:space="preserve">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38. Periodo de actualización de la información: semestral; en su caso, 30 días hábiles </w:t>
            </w:r>
            <w:r w:rsidRPr="004C1B50">
              <w:rPr>
                <w:rFonts w:ascii="Adobe Caslon Pro" w:hAnsi="Adobe Caslon Pro"/>
                <w:sz w:val="16"/>
                <w:szCs w:val="16"/>
              </w:rPr>
              <w:lastRenderedPageBreak/>
              <w:t>después de adquirir o dar de baja algún bien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39.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40.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41.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42. Fecha de validación de la información publicada con el formato día/mes/año (por ej. 30/Abril/2016)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 Recomendaciones y su atención en materia de derechos humanos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tabs>
                <w:tab w:val="left" w:pos="1010"/>
              </w:tabs>
              <w:jc w:val="both"/>
              <w:rPr>
                <w:rFonts w:ascii="Adobe Caslon Pro" w:hAnsi="Adobe Caslon Pro"/>
                <w:sz w:val="16"/>
                <w:szCs w:val="16"/>
              </w:rPr>
            </w:pPr>
            <w:r w:rsidRPr="004C1B50">
              <w:rPr>
                <w:rFonts w:ascii="Adobe Caslon Pro" w:hAnsi="Adobe Caslon Pro"/>
                <w:sz w:val="16"/>
                <w:szCs w:val="16"/>
              </w:rPr>
              <w:t xml:space="preserve">Se identificó que hacen falta los dos últimos trimestres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37. Fecha en la que se recibió la notificación de la recomendación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w:t>
            </w:r>
            <w:proofErr w:type="gramStart"/>
            <w:r w:rsidRPr="004C1B50">
              <w:rPr>
                <w:rFonts w:ascii="Adobe Caslon Pro" w:hAnsi="Adobe Caslon Pro"/>
                <w:sz w:val="16"/>
                <w:szCs w:val="16"/>
              </w:rPr>
              <w:t>38 .</w:t>
            </w:r>
            <w:proofErr w:type="gramEnd"/>
            <w:r w:rsidRPr="004C1B50">
              <w:rPr>
                <w:rFonts w:ascii="Adobe Caslon Pro" w:hAnsi="Adobe Caslon Pro"/>
                <w:sz w:val="16"/>
                <w:szCs w:val="16"/>
              </w:rPr>
              <w:t xml:space="preserve"> Número de recomendación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w:t>
            </w:r>
            <w:r w:rsidRPr="004C1B50">
              <w:rPr>
                <w:rFonts w:ascii="Adobe Caslon Pro" w:hAnsi="Adobe Caslon Pro"/>
                <w:sz w:val="16"/>
                <w:szCs w:val="16"/>
              </w:rPr>
              <w:lastRenderedPageBreak/>
              <w:t>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39. Hipervínculo al sitio de Internet de la CNDH, concretamente, a la sección en la que se publican los Casos especiales. En su caso, al sitio de Internet de los organismos estatales en donde se publique la información en comento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40. Hipervínculo al buscador de recomendaciones internacionales a México en materia de derechos humanos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43. Fecha en la que se emitió la información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44. Nombre del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45. Derecho(s) humano(s) violado(s)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46. Víctima(s)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47. Órgano emisor de conformidad con </w:t>
            </w:r>
            <w:r w:rsidRPr="004C1B50">
              <w:rPr>
                <w:rFonts w:ascii="Adobe Caslon Pro" w:hAnsi="Adobe Caslon Pro"/>
                <w:sz w:val="16"/>
                <w:szCs w:val="16"/>
              </w:rPr>
              <w:lastRenderedPageBreak/>
              <w:t>el siguiente catálogo:</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Sistema Universal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Órganos creados en virtud de tratados: Comité contra las Desapariciones Forzadas/Comité de los Derechos Económicos, Sociales y Culturales/Comité de los Derechos del Niño/Comité de los Derechos Humanos/Comité para la Eliminación de la Discriminación Racial/Comité contra la Tortura/Comité para la Eliminación de la Discriminación contra la Mujer/Comité de la Protección de los Derechos de Todos los Trabajadores Migratorios y de sus Familiares/Subcomité para la Prevención de la Tortura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Procedimientos especiales: Grupo de Trabajo sobre Desapariciones Forzadas7Grupo de Trabajo sobre la Detención Arbitraria/Relator Especial contra la Tortura/Relator Especial sobre la venta de niños, la prostitución infantil y la utilización de niños en la pornografía/Relator especial sobre los efectos nocivos para el goce de los derechos humanos del </w:t>
            </w:r>
            <w:r w:rsidRPr="004C1B50">
              <w:rPr>
                <w:rFonts w:ascii="Adobe Caslon Pro" w:hAnsi="Adobe Caslon Pro"/>
                <w:sz w:val="16"/>
                <w:szCs w:val="16"/>
              </w:rPr>
              <w:lastRenderedPageBreak/>
              <w:t>traslado y vertimiento ilícitos de productos y desechos tóxicos y peligrosos/Relator Especial sobre Ejecuciones Extrajudiciales, Sumarias o Arbitrarias/Relator Especial sobre la independencia de los magistrados y abogados/Relator Especial sobre los Derechos Humanos de los Migrantes/Relator Especial sobre una vivienda adecuada como parte del derecho a un nivel de vida adecuado, y sobre el derecho a la no discriminación/Representante del Secretario General sobre los desplazados internos/Relator Especial sobre la situación de los derechos humanos y las libertades fundamentales de los indígenas/Relator Especial sobre la violencia contra la mujer, sus causas y consecuencias/Relator Especial sobre el derecho a la Educación/Relator Especial sobre el derecho a la Libertad de Expresión/Relator Especial sobre el derecho a la Alimentación u otros órganos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Sistema de casos y peticiones: Comisión </w:t>
            </w:r>
            <w:r w:rsidRPr="004C1B50">
              <w:rPr>
                <w:rFonts w:ascii="Adobe Caslon Pro" w:hAnsi="Adobe Caslon Pro"/>
                <w:sz w:val="16"/>
                <w:szCs w:val="16"/>
              </w:rPr>
              <w:lastRenderedPageBreak/>
              <w:t>Interamericana de Derechos Humanos/Corte Interamericana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Sistema Interamericano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Otros mecanismos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Relatoría Especial sobre los derechos de los Trabajadores Migratorios y Miembros de sus Familias/Relatoría Especial sobre la Libertad de Expresión/Relatoría Especial sobre Asuntos de la Mujer/Relatoría sobre los Derechos de las Personas Privadas de Libertad/Relatoría sobre los Derechos de las Personas Lesbianas, </w:t>
            </w:r>
            <w:proofErr w:type="spellStart"/>
            <w:r w:rsidRPr="004C1B50">
              <w:rPr>
                <w:rFonts w:ascii="Adobe Caslon Pro" w:hAnsi="Adobe Caslon Pro"/>
                <w:sz w:val="16"/>
                <w:szCs w:val="16"/>
              </w:rPr>
              <w:t>Gays</w:t>
            </w:r>
            <w:proofErr w:type="spellEnd"/>
            <w:r w:rsidRPr="004C1B50">
              <w:rPr>
                <w:rFonts w:ascii="Adobe Caslon Pro" w:hAnsi="Adobe Caslon Pro"/>
                <w:sz w:val="16"/>
                <w:szCs w:val="16"/>
              </w:rPr>
              <w:t xml:space="preserve">, Bisexuales, </w:t>
            </w:r>
            <w:proofErr w:type="spellStart"/>
            <w:r w:rsidRPr="004C1B50">
              <w:rPr>
                <w:rFonts w:ascii="Adobe Caslon Pro" w:hAnsi="Adobe Caslon Pro"/>
                <w:sz w:val="16"/>
                <w:szCs w:val="16"/>
              </w:rPr>
              <w:t>Trans</w:t>
            </w:r>
            <w:proofErr w:type="spellEnd"/>
            <w:r w:rsidRPr="004C1B50">
              <w:rPr>
                <w:rFonts w:ascii="Adobe Caslon Pro" w:hAnsi="Adobe Caslon Pro"/>
                <w:sz w:val="16"/>
                <w:szCs w:val="16"/>
              </w:rPr>
              <w:t xml:space="preserve"> e </w:t>
            </w:r>
            <w:proofErr w:type="spellStart"/>
            <w:r w:rsidRPr="004C1B50">
              <w:rPr>
                <w:rFonts w:ascii="Adobe Caslon Pro" w:hAnsi="Adobe Caslon Pro"/>
                <w:sz w:val="16"/>
                <w:szCs w:val="16"/>
              </w:rPr>
              <w:t>Intersex</w:t>
            </w:r>
            <w:proofErr w:type="spellEnd"/>
            <w:r w:rsidRPr="004C1B50">
              <w:rPr>
                <w:rFonts w:ascii="Adobe Caslon Pro" w:hAnsi="Adobe Caslon Pro"/>
                <w:sz w:val="16"/>
                <w:szCs w:val="16"/>
              </w:rPr>
              <w:t>/Relatoría sobre los Derechos de las Personas Afro-descendientes/Relatoría sobre los Derechos de los Pueblos Indígenas/Relatoría sobre Defensores y Defensoras de Derechos Humanos/Relatoría sobre los Derechos de la Niñez/Otro (especificar)"</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w:t>
            </w:r>
            <w:r w:rsidRPr="004C1B50">
              <w:rPr>
                <w:rFonts w:ascii="Adobe Caslon Pro" w:hAnsi="Adobe Caslon Pro"/>
                <w:sz w:val="16"/>
                <w:szCs w:val="16"/>
              </w:rPr>
              <w:lastRenderedPageBreak/>
              <w:t>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48. Fundamentos del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49. Etapa en la que se encuentra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50. Hipervínculo al informe, sentencia, resolución y/ o recomendación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51. Hipervínculo a la Ficha técnica completa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52.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53.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54.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55.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56.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57. Fecha de validación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XXXVII. Mecanismos de participación ciudadana</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hay una fecha de actualización posterior a la fecha de validación, cuando los Lineamientos Técnicos Generales indican que la primera tiene que ser igual o menor a la segunda.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 Denominación del mecanismo de </w:t>
            </w:r>
            <w:r w:rsidRPr="004C1B50">
              <w:rPr>
                <w:rFonts w:ascii="Adobe Caslon Pro" w:hAnsi="Adobe Caslon Pro"/>
                <w:sz w:val="16"/>
                <w:szCs w:val="16"/>
              </w:rPr>
              <w:lastRenderedPageBreak/>
              <w:t>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w:t>
            </w:r>
            <w:r w:rsidRPr="004C1B50">
              <w:rPr>
                <w:rFonts w:ascii="Adobe Caslon Pro" w:hAnsi="Adobe Caslon Pro"/>
                <w:sz w:val="16"/>
                <w:szCs w:val="16"/>
              </w:rPr>
              <w:lastRenderedPageBreak/>
              <w:t>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Fundamento jurídico,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Objetivo(s) del mecanismo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6. Alcances del mecanismo de participación </w:t>
            </w:r>
            <w:proofErr w:type="gramStart"/>
            <w:r w:rsidRPr="004C1B50">
              <w:rPr>
                <w:rFonts w:ascii="Adobe Caslon Pro" w:hAnsi="Adobe Caslon Pro"/>
                <w:sz w:val="16"/>
                <w:szCs w:val="16"/>
              </w:rPr>
              <w:t>ciudadana .</w:t>
            </w:r>
            <w:proofErr w:type="gramEnd"/>
            <w:r w:rsidRPr="004C1B50">
              <w:rPr>
                <w:rFonts w:ascii="Adobe Caslon Pro" w:hAnsi="Adobe Caslon Pro"/>
                <w:sz w:val="16"/>
                <w:szCs w:val="16"/>
              </w:rPr>
              <w:t xml:space="preserve"> Por ejemplo: Nacional, Federal, Entidad federativa, Municipal, Delegacional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Hipervínculo a la convocatoria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Temas sujetos a revisión y consideración a través de los diferentes mecanismos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Requisitos de participación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Cómo recibirá el sujeto obligado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Medio de recepción de las propuestas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12. Fecha de </w:t>
            </w:r>
            <w:r w:rsidRPr="004C1B50">
              <w:rPr>
                <w:rFonts w:ascii="Adobe Caslon Pro" w:hAnsi="Adobe Caslon Pro"/>
                <w:sz w:val="16"/>
                <w:szCs w:val="16"/>
              </w:rPr>
              <w:lastRenderedPageBreak/>
              <w:t>inicio de recepción de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w:t>
            </w:r>
            <w:r w:rsidRPr="004C1B50">
              <w:rPr>
                <w:rFonts w:ascii="Adobe Caslon Pro" w:hAnsi="Adobe Caslon Pro"/>
                <w:sz w:val="16"/>
                <w:szCs w:val="16"/>
              </w:rPr>
              <w:lastRenderedPageBreak/>
              <w:t xml:space="preserve">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Fecha de término de recepción de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Nombre del(as) área(s) que gestiona el mecanismo de participación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Nombre(s), primer apellido, segundo apellido del(a) servidor(a) público(a) y/o de toda persona que desempeñe un empleo, cargo o comisión y/o ejerza actos de autoridad, y que sea la señalada para establecer contacto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Correo electrónico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17. Domicilio de la oficina de atención (tipo de vialidad [catálogo], nombre de vialidad , número exterior, número interior [en su caso], tipo de asentamiento humano [catálogo], nombre de asentamiento humano [colonia], clave de la localidad , nombre de la localidad , clave del municipio , nombre del municipio o delegación , clave de la entidad </w:t>
            </w:r>
            <w:r w:rsidRPr="004C1B50">
              <w:rPr>
                <w:rFonts w:ascii="Adobe Caslon Pro" w:hAnsi="Adobe Caslon Pro"/>
                <w:sz w:val="16"/>
                <w:szCs w:val="16"/>
              </w:rPr>
              <w:lastRenderedPageBreak/>
              <w:t>federativa ,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Domicilio en el extranjero. En caso de que la oficina de atención se lleve a cabo en otro país, se deberá incluir el domicilio el cual deberá incluir por lo menos: país, ciudad, calle y número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Teléfono(s) y extensión(es)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Horario y días de atención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Denominación del mecanismo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Resultados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Número total de participantes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Respuesta del sujeto obligado a los resultados de la participación, descripción sintética de lo que se tomó en cuenta y los criterios utilizados para retomar determinados elementos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30. Área(s) responsable(s) que genera(n), posee(n), publica(n) y/o actualiza(n) 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Fecha de actualización de la 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32. Fecha de validación de la </w:t>
            </w:r>
            <w:r w:rsidRPr="004C1B50">
              <w:rPr>
                <w:rFonts w:ascii="Adobe Caslon Pro" w:hAnsi="Adobe Caslon Pro"/>
                <w:sz w:val="16"/>
                <w:szCs w:val="16"/>
              </w:rPr>
              <w:lastRenderedPageBreak/>
              <w:t>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w:t>
            </w:r>
            <w:r w:rsidRPr="004C1B50">
              <w:rPr>
                <w:rFonts w:ascii="Adobe Caslon Pro" w:hAnsi="Adobe Caslon Pro"/>
                <w:sz w:val="16"/>
                <w:szCs w:val="16"/>
              </w:rPr>
              <w:lastRenderedPageBreak/>
              <w:t>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33. Nota. Este criterio se cumple en caso de que sea necesario que el sujeto obligado incluya alguna aclaración relativa a la información publicada y/o explicación por la falta de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34. La información publicada se organiza mediante los formatos 37a y 37b, en el que se incluyen todos los campos especificados en los criterios sustantivos de contenido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XXXVIII. Programas ofrecidos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celdas con registros vacíos.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44. Periodo de actualización de la información: trimestral (la información de los programas que se desarrollarán a lo largo del ejercicio deberá publicarse durante el primer mes del 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las fechas correspondientes al período de actualización.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45. La información deberá estar actualizada al periodo que corresponde, de acuerdo con la Tabla de actualización y </w:t>
            </w:r>
            <w:r w:rsidRPr="004C1B50">
              <w:rPr>
                <w:rFonts w:ascii="Adobe Caslon Pro" w:hAnsi="Adobe Caslon Pro"/>
                <w:sz w:val="16"/>
                <w:szCs w:val="16"/>
              </w:rPr>
              <w:lastRenderedPageBreak/>
              <w:t>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hacen falta las fechas correspondientes al período de actualización.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47.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Existen registros en blanco que no son justificados en el campo "Nota".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XXXIX. Actas y resoluciones del CT</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Biólogo</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el reporte correspondiente al segundo semestre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Fecha de la resolución y/o acta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Hipervínculo al documento de la resolución y/o acta,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Número de sesión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Mes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Día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w:t>
            </w:r>
            <w:r w:rsidRPr="004C1B50">
              <w:rPr>
                <w:rFonts w:ascii="Adobe Caslon Pro" w:hAnsi="Adobe Caslon Pro"/>
                <w:sz w:val="16"/>
                <w:szCs w:val="16"/>
              </w:rPr>
              <w:lastRenderedPageBreak/>
              <w:t>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Hipervínculo al acta de la sesión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semestral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29. Fecha de actualización de la información publicada con el formato día/mes/año </w:t>
            </w:r>
            <w:r w:rsidRPr="004C1B50">
              <w:rPr>
                <w:rFonts w:ascii="Adobe Caslon Pro" w:hAnsi="Adobe Caslon Pro"/>
                <w:sz w:val="16"/>
                <w:szCs w:val="16"/>
              </w:rPr>
              <w:lastRenderedPageBreak/>
              <w:t>(por ej. 30/Junio/2016)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al formato ""Calendario de Sesiones Ordinarias del Comité de Transparencia"" en la página del SIPOT.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30. Fecha de validación de la información publicada con el formato día/mes/año (por ej. 16/Julio/2016)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Además, se identificaron fechas de actualización posteriores a las de validación, cuando en los Lineamientos Técnicos Generales se indica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cuales redirigen los hipervínculos en los criterios 11, 15 y 27 no puede ser reutilizada.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XLI. Estudios pagados con recursos públicos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ENAPROC, Instrumentación, Análisis, Investigación y Difusión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ISBN (Número Internacional Normalizado del Libro, por su traducción al español) en caso de que el estudio, investigación o análisis hubiere sido publicado en un libro; ISSN (Número Internacional Normalizado de Publicaciones Seriadas, por su traducción al español) si lo hubiere sido en una publicación seriada, como una revista de investigación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palabra "No Aplica" para referirse a este criterio. Sin embargo, deberá sustituirla por la razón por la que no se escribe el ISBN.</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Monto total de los recursos públicos y recursos privados destinados a la elaboración del estudio (pesos mexicanos)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el Sujeto Obligado justifique la ausencia de información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Nombre del Área(s) administrativa(s) al interior del sujeto obligado que fue responsable de la contratación del estudio, investigación o análisis con un tercero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palabra "No Aplica" para referirse a este criterio. Sin embargo, deberá sustituirla por la razón por la que no se escribe el nombre del área administrativa.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33. ISBN (Número Internacional Normalizado del Libro, por su traducción al español) en caso de que el estudio, investigación o análisis hubiere sido publicado en un libro; ISSN (Número Internacional Normalizado de Publicaciones Seriadas, por su traducción al español) si lo hubiere sido en una publicación seriada, como una revista de investigación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palabra "No Aplica" para referirse a este criterio. Sin embargo, deberá sustituirla por la razón por la que no se escribe el ISBN.</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Fecha de publicación del estudio, investigación o análisis, con el formato 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escribe números diferentes al formato "fecha", sin que explique su significado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47. Área(s) o unidad(es) administrativa(s) que genera(n) o poseen(n)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48.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fechas de actualización posteriores a las de validación, cuando los Lineamientos Técnicos Generales dicen que las primeras deben ser igual o menores a las segundas. Por lo tanto, deberá cargar la información de manera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49. Fecha de validación de la información publicada con el formato día/mes/año (por ej. 30/Abril/2016)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51.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contenida en los documentos a los que redirigen los hipervínculos no se puede reutilizar, por ejemplo:</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http://www1.cenapred.unam.mx/COORDINACION_ADMINISTRATIV</w:t>
            </w:r>
            <w:r w:rsidRPr="004C1B50">
              <w:rPr>
                <w:rFonts w:ascii="Adobe Caslon Pro" w:hAnsi="Adobe Caslon Pro"/>
                <w:sz w:val="16"/>
                <w:szCs w:val="16"/>
              </w:rPr>
              <w:lastRenderedPageBreak/>
              <w:t>A/SRM/FRACCION_XLI_A/39.pdf</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lastRenderedPageBreak/>
              <w:t>XLII. Pagos a jubilados y pensionados</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13.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15. Fecha de validación de la información publicada con el formato día/mes/año (por ej. 30/Abril/2016)</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bookmarkStart w:id="0" w:name="_GoBack"/>
            <w:r w:rsidRPr="004C1B50">
              <w:rPr>
                <w:rFonts w:ascii="Adobe Caslon Pro" w:hAnsi="Adobe Caslon Pro"/>
                <w:sz w:val="16"/>
                <w:szCs w:val="16"/>
              </w:rPr>
              <w:t>XLVIII. Otra información útil o relevante</w:t>
            </w:r>
            <w:bookmarkEnd w:id="0"/>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ENAPROC, Difusión, Análisis, Instrumentación e Investigación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Descripción breve, clara y precisa que dé cuenta del contenido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no publica la información correspondiente al ÍNDICE DE EXPEDIENTES CLASIFICADOS COMO RESERVADOS en </w:t>
            </w:r>
            <w:proofErr w:type="spellStart"/>
            <w:r w:rsidRPr="004C1B50">
              <w:rPr>
                <w:rFonts w:ascii="Adobe Caslon Pro" w:hAnsi="Adobe Caslon Pro"/>
                <w:sz w:val="16"/>
                <w:szCs w:val="16"/>
              </w:rPr>
              <w:t>lo</w:t>
            </w:r>
            <w:proofErr w:type="spellEnd"/>
            <w:r w:rsidRPr="004C1B50">
              <w:rPr>
                <w:rFonts w:ascii="Adobe Caslon Pro" w:hAnsi="Adobe Caslon Pro"/>
                <w:sz w:val="16"/>
                <w:szCs w:val="16"/>
              </w:rPr>
              <w:t xml:space="preserve"> términos del art. 102 y 101 de la LGT, ni la de las CUOTAS DE LOS DERECHOS APLICABLES para obtener información con base en lo señalado en el art. 141 de la LGT.</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publicar la información de acuerdo a lo solicitado por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Planteamiento de las preguntas frecuentes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Respuesta a cada una de las preguntas frecuentes planteadas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Número total de preguntas realizadas por las personas al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Último párrafo</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 Periodo que se informa (fecha de inicio y fecha de término con el </w:t>
            </w:r>
            <w:r w:rsidRPr="004C1B50">
              <w:rPr>
                <w:rFonts w:ascii="Adobe Caslon Pro" w:hAnsi="Adobe Caslon Pro"/>
                <w:sz w:val="16"/>
                <w:szCs w:val="16"/>
              </w:rPr>
              <w:lastRenderedPageBreak/>
              <w:t>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Hipervínculo a la Tabla de Aplicabilidad de las Obligaciones de Transparencia Comunes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Hipervínculo a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Periodo de actualización de la información: anual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8. Área(s) responsable(s) que genera(n), posee(n), publica(n) y/o actualiza(n) 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Fecha de actualización de la 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10. Fecha de </w:t>
            </w:r>
            <w:r w:rsidRPr="004C1B50">
              <w:rPr>
                <w:rFonts w:ascii="Adobe Caslon Pro" w:hAnsi="Adobe Caslon Pro"/>
                <w:sz w:val="16"/>
                <w:szCs w:val="16"/>
              </w:rPr>
              <w:lastRenderedPageBreak/>
              <w:t>validación de la 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w:t>
            </w:r>
            <w:r w:rsidRPr="004C1B50">
              <w:rPr>
                <w:rFonts w:ascii="Adobe Caslon Pro" w:hAnsi="Adobe Caslon Pro"/>
                <w:sz w:val="16"/>
                <w:szCs w:val="16"/>
              </w:rPr>
              <w:lastRenderedPageBreak/>
              <w:t xml:space="preserve">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11. Nota. Este criterio se cumple en caso de que sea necesario que el sujeto obligado incluya alguna aclaración relativa a la información publicada y/o explicación por la falta de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La información publicada se organiza mediante el formato 70_00, en el que se incluyen todos los campos especificados en los criterios sustantivos de contenido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80. Listado con información de interés público</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Hipervínculo al catálogo de información que el sujeto obligado deberá publicar como obligación de transparencia adicional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Tema que se reporta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w:t>
            </w:r>
            <w:r w:rsidRPr="004C1B50">
              <w:rPr>
                <w:rFonts w:ascii="Adobe Caslon Pro" w:hAnsi="Adobe Caslon Pro"/>
                <w:sz w:val="16"/>
                <w:szCs w:val="16"/>
              </w:rPr>
              <w:lastRenderedPageBreak/>
              <w:t>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Hipervínculo a la información determinada en el catálogo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Periodo de actualización de la información: semestral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24. Área(s) responsable(s) que genera(n) posee(n), publica(n) y/o actualiza(n)la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25. Fecha de actualización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26. Fecha de validación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Nota. Este criterio se cumple en caso de que sea necesario que el sujeto obligado incluya alguna aclaración relativa a la información publicada y/o explicación por la falta 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La información publicada se organiza mediante los formatos 1a y 1b en los que se incluyen todos los campos especificados en los criterios sustantivos de contenido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82. Listado por parte de las personas físicas y morales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 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Periodo que reporta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Actividad o información de interés público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Fundamento jurídico para la realización de dicha actividad</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Periodicidad de dicha actividad</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Periodo de actualización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Fecha de validación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23. La </w:t>
            </w:r>
            <w:r w:rsidRPr="004C1B50">
              <w:rPr>
                <w:rFonts w:ascii="Adobe Caslon Pro" w:hAnsi="Adobe Caslon Pro"/>
                <w:sz w:val="16"/>
                <w:szCs w:val="16"/>
              </w:rPr>
              <w:lastRenderedPageBreak/>
              <w:t>información publicada se organiza mediante los formatos 82a y 82b para los Organismos garantes y respecto a las personas físicas y morales mediante el formato 82c, en los que se incluyen todos los campos especificados en los criterios sustantivos de contenido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w:t>
            </w:r>
            <w:r w:rsidRPr="004C1B50">
              <w:rPr>
                <w:rFonts w:ascii="Adobe Caslon Pro" w:hAnsi="Adobe Caslon Pro"/>
                <w:sz w:val="16"/>
                <w:szCs w:val="16"/>
              </w:rPr>
              <w:lastRenderedPageBreak/>
              <w:t xml:space="preserve">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 Hipervínculo al listado de obligaciones que deben cumplir las personas físicas y morales que reciben recursos públicos o realizan actos de autoridad de manera directa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Hipervínculo al listado de obligaciones adicionales que deben cumplir las personas físicas y morales a través de quienes les entreguen los recursos o los facultan para la realización de los actos de autoridad</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Periodo de actualización de la información: anual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11. Área(s) responsable(s) que genera(n) posee(n), publica(n) y/o actualiza(n)la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12. Fecha de actualización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13. Fecha de validación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14. Nota. Este criterio se cumple en caso de que sea necesario que el sujeto obligado incluya alguna aclaración relativa a la información publicada y/o explicación por la falta </w:t>
            </w:r>
            <w:r w:rsidRPr="004C1B50">
              <w:rPr>
                <w:rFonts w:ascii="Adobe Caslon Pro" w:hAnsi="Adobe Caslon Pro"/>
                <w:sz w:val="16"/>
                <w:szCs w:val="16"/>
              </w:rPr>
              <w:lastRenderedPageBreak/>
              <w:t>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15. La información publicada se organiza mediante los formatos 82a y 82b para los Organismos garantes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bl>
    <w:p w:rsidR="003432FA" w:rsidRPr="004C1B50" w:rsidRDefault="003432FA" w:rsidP="006C3887">
      <w:pPr>
        <w:jc w:val="both"/>
        <w:rPr>
          <w:rFonts w:ascii="Adobe Caslon Pro" w:hAnsi="Adobe Caslon Pro"/>
          <w:sz w:val="16"/>
          <w:szCs w:val="16"/>
        </w:rPr>
      </w:pPr>
    </w:p>
    <w:sectPr w:rsidR="003432FA" w:rsidRPr="004C1B50" w:rsidSect="00DC7C11">
      <w:pgSz w:w="15840" w:h="12240"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Adobe Caslon Pro">
    <w:panose1 w:val="0205050205050A020403"/>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52"/>
    <w:rsid w:val="000026DA"/>
    <w:rsid w:val="000D34C6"/>
    <w:rsid w:val="000E5785"/>
    <w:rsid w:val="001B5F87"/>
    <w:rsid w:val="00203128"/>
    <w:rsid w:val="003432FA"/>
    <w:rsid w:val="00356000"/>
    <w:rsid w:val="00363E26"/>
    <w:rsid w:val="003C256F"/>
    <w:rsid w:val="003D55FB"/>
    <w:rsid w:val="0040391D"/>
    <w:rsid w:val="004C1B50"/>
    <w:rsid w:val="00537EC9"/>
    <w:rsid w:val="005D276E"/>
    <w:rsid w:val="005D4A65"/>
    <w:rsid w:val="005E1AD6"/>
    <w:rsid w:val="005F4C89"/>
    <w:rsid w:val="006B21CB"/>
    <w:rsid w:val="006C3887"/>
    <w:rsid w:val="00854BEA"/>
    <w:rsid w:val="00862552"/>
    <w:rsid w:val="008725A3"/>
    <w:rsid w:val="0088330E"/>
    <w:rsid w:val="008A6213"/>
    <w:rsid w:val="009934CB"/>
    <w:rsid w:val="009C06FB"/>
    <w:rsid w:val="00A25364"/>
    <w:rsid w:val="00A33CC2"/>
    <w:rsid w:val="00AC0FAA"/>
    <w:rsid w:val="00AE4EF7"/>
    <w:rsid w:val="00C16477"/>
    <w:rsid w:val="00C56293"/>
    <w:rsid w:val="00CE6F3C"/>
    <w:rsid w:val="00CF6245"/>
    <w:rsid w:val="00D36E4A"/>
    <w:rsid w:val="00DB7BF9"/>
    <w:rsid w:val="00DC71CE"/>
    <w:rsid w:val="00DC7C11"/>
    <w:rsid w:val="00E61C17"/>
    <w:rsid w:val="00EB69D8"/>
    <w:rsid w:val="00F274EB"/>
    <w:rsid w:val="00FA7C97"/>
    <w:rsid w:val="00FC2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6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C06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6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6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C06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6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16652</Words>
  <Characters>91589</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Martinez Félix Doris Verónica</dc:creator>
  <cp:lastModifiedBy>Vázquez Vázquez Nancy</cp:lastModifiedBy>
  <cp:revision>2</cp:revision>
  <cp:lastPrinted>2018-11-20T17:03:00Z</cp:lastPrinted>
  <dcterms:created xsi:type="dcterms:W3CDTF">2018-11-23T19:27:00Z</dcterms:created>
  <dcterms:modified xsi:type="dcterms:W3CDTF">2018-11-23T19:27:00Z</dcterms:modified>
</cp:coreProperties>
</file>